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555EF" w14:textId="3EB4554B" w:rsidR="00AC363C" w:rsidRPr="009B7FF4" w:rsidRDefault="00AC363C" w:rsidP="00E662D0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  <w:r w:rsidRPr="009B7FF4">
        <w:rPr>
          <w:rFonts w:ascii="Times New Roman" w:eastAsia="Times New Roman" w:hAnsi="Times New Roman" w:cs="Times New Roman"/>
          <w:szCs w:val="24"/>
          <w:lang w:eastAsia="pl-PL"/>
        </w:rPr>
        <w:t>Załącznik</w:t>
      </w:r>
      <w:r w:rsidR="00982847" w:rsidRPr="009B7FF4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9B7FF4">
        <w:rPr>
          <w:rFonts w:ascii="Times New Roman" w:eastAsia="Times New Roman" w:hAnsi="Times New Roman" w:cs="Times New Roman"/>
          <w:szCs w:val="24"/>
          <w:lang w:eastAsia="pl-PL"/>
        </w:rPr>
        <w:t>B.70.</w:t>
      </w:r>
    </w:p>
    <w:p w14:paraId="75AE5ACF" w14:textId="77777777" w:rsidR="00AC363C" w:rsidRPr="009B7FF4" w:rsidRDefault="00AC363C" w:rsidP="00E662D0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3CDE9EC0" w14:textId="739BF276" w:rsidR="00AC363C" w:rsidRPr="009B7FF4" w:rsidRDefault="00AC363C" w:rsidP="00AC363C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982847"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PACJENTÓW</w:t>
      </w:r>
      <w:r w:rsidR="00982847"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982847"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CHOROBAMI</w:t>
      </w:r>
      <w:r w:rsidR="00982847"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SIATKÓWKI</w:t>
      </w:r>
      <w:r w:rsidR="00982847"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(ICD-10:</w:t>
      </w:r>
      <w:r w:rsidR="00982847"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H35.3,</w:t>
      </w:r>
      <w:r w:rsidR="00982847"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9B7FF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H36.0)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6A6913" w:rsidRPr="009B7FF4" w14:paraId="147FB8CC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B61A" w14:textId="0204D3A2" w:rsidR="006A6913" w:rsidRPr="009B7FF4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</w:pP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ZAKRES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 xml:space="preserve"> </w:t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ŚWIADCZENIA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 xml:space="preserve"> </w:t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GWARANTOWANEGO</w:t>
            </w:r>
          </w:p>
        </w:tc>
      </w:tr>
      <w:tr w:rsidR="006A6913" w:rsidRPr="009B7FF4" w14:paraId="16D7B509" w14:textId="77777777" w:rsidTr="00982847">
        <w:trPr>
          <w:trHeight w:hRule="exact" w:val="567"/>
        </w:trPr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2A2E" w14:textId="1A73BCCB" w:rsidR="006A6913" w:rsidRPr="009B7FF4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</w:pP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ŚWIADCZENIOBIORCY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D671" w14:textId="148F621A" w:rsidR="006A6913" w:rsidRPr="009B7FF4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</w:pP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SCHEMAT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DAWKOWANIA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LEKÓW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br/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PROGRAMIE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7B94" w14:textId="49DF3F62" w:rsidR="006A6913" w:rsidRPr="009B7FF4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</w:pP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BADANIA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DIAGNOSTYCZNE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WYKONYWANE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br/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RAMACH</w:t>
            </w:r>
            <w:r w:rsidR="00982847"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9B7FF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PROGRAMU</w:t>
            </w:r>
          </w:p>
        </w:tc>
      </w:tr>
      <w:tr w:rsidR="002F533C" w:rsidRPr="009B7FF4" w14:paraId="2EDA8EE8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E98C" w14:textId="469999E5" w:rsidR="002F533C" w:rsidRPr="009B7FF4" w:rsidRDefault="002F533C" w:rsidP="00D608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PACJENTÓW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WYSIĘKOWYM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ZWYRODNIENIEM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ZWIĄZANYM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WIEKIEM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</w:t>
            </w:r>
            <w:proofErr w:type="spellStart"/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nAMD</w:t>
            </w:r>
            <w:proofErr w:type="spellEnd"/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6A6913" w:rsidRPr="009B7FF4" w14:paraId="2E97157E" w14:textId="77777777" w:rsidTr="00982847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FD9A" w14:textId="19DE5F7A" w:rsidR="00EA7951" w:rsidRPr="009B7FF4" w:rsidRDefault="00EA7951" w:rsidP="00BC5F49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9B7FF4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9B7FF4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9B7FF4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9B7FF4">
              <w:rPr>
                <w:rFonts w:ascii="Times New Roman" w:hAnsi="Times New Roman" w:cs="Times New Roman"/>
                <w:sz w:val="20"/>
                <w:szCs w:val="20"/>
              </w:rPr>
              <w:t>Koordynacyjny)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94DA87" w14:textId="1BE165B8" w:rsidR="00EA7951" w:rsidRPr="009B7FF4" w:rsidRDefault="00EA7951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6A906839" w14:textId="39F7B857" w:rsidR="00EA7951" w:rsidRPr="009B7FF4" w:rsidRDefault="00EA7951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wysiękowego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zwyrodnienia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związanego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wiekiem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40C4256D" w14:textId="297B13E1" w:rsidR="006A6913" w:rsidRPr="009B7FF4" w:rsidRDefault="00EA7951" w:rsidP="00BC5F49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FB7843"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4CAFA31" w14:textId="77777777" w:rsidR="000F5E36" w:rsidRPr="009B7FF4" w:rsidRDefault="000F5E36" w:rsidP="00BC5F49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ECE5AB" w14:textId="5426CDF2" w:rsidR="000F5E36" w:rsidRPr="009B7FF4" w:rsidRDefault="000F5E36" w:rsidP="00BC5F49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B150073" w14:textId="7393B128" w:rsidR="00EA7951" w:rsidRPr="009B7FF4" w:rsidRDefault="00EA7951" w:rsidP="00BC5F49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0F5E36"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F215889" w14:textId="77777777" w:rsidR="002F5F56" w:rsidRPr="009B7FF4" w:rsidRDefault="002F5F56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99423" w14:textId="78FF338D" w:rsidR="00EA7951" w:rsidRPr="009B7FF4" w:rsidRDefault="00EA7951" w:rsidP="00BC5F49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1D49A3F" w14:textId="3C15DE00" w:rsidR="00EA7951" w:rsidRPr="009B7FF4" w:rsidRDefault="00EA7951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aktywnej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(pierwotnej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wtórnej),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klasycznej,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ukrytej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mieszanej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neowaskularyzacji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podsiatkówkowej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(CNV)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zajmującej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ponad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50%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zmiany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AMD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(optycznej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koherentnej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tomografii)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fluoresceinowej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-OCT;</w:t>
            </w:r>
          </w:p>
          <w:p w14:paraId="142E2AE5" w14:textId="060C1A6F" w:rsidR="00EA7951" w:rsidRPr="009B7FF4" w:rsidRDefault="00EA7951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wiek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45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9B7FF4">
              <w:rPr>
                <w:rFonts w:ascii="Times New Roman" w:hAnsi="Times New Roman"/>
                <w:sz w:val="20"/>
                <w:szCs w:val="20"/>
              </w:rPr>
              <w:t>lat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9B7FF4">
              <w:rPr>
                <w:rFonts w:ascii="Times New Roman" w:hAnsi="Times New Roman"/>
                <w:sz w:val="20"/>
                <w:szCs w:val="20"/>
              </w:rPr>
              <w:t>powyżej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305C05" w14:textId="63428376" w:rsidR="00EA7951" w:rsidRPr="009B7FF4" w:rsidRDefault="00EA7951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wielkość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zmiany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mniejsza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(12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tarczy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nerwu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wzrokowego);</w:t>
            </w:r>
          </w:p>
          <w:p w14:paraId="3C471AF0" w14:textId="092619DB" w:rsidR="00EA7951" w:rsidRPr="009B7FF4" w:rsidRDefault="00EA7951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najlepsza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skorygowana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ostrość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leczonym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0,2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0,8,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Snellena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ETDRS);</w:t>
            </w:r>
          </w:p>
          <w:p w14:paraId="0EE12AFA" w14:textId="3EF56C34" w:rsidR="00EA7951" w:rsidRPr="009B7FF4" w:rsidRDefault="00EA7951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doszklistkowych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32091E" w14:textId="5AC8CB15" w:rsidR="00BC5F49" w:rsidRPr="009B7FF4" w:rsidRDefault="00BC5F49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zaniku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geograficznego;</w:t>
            </w:r>
          </w:p>
          <w:p w14:paraId="6394A89A" w14:textId="62385862" w:rsidR="00BC5F49" w:rsidRPr="009B7FF4" w:rsidRDefault="00BC5F49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wylewu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5914FA94" w14:textId="3F74AF9E" w:rsidR="00BC5F49" w:rsidRPr="009B7FF4" w:rsidRDefault="00BC5F49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istotnego,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trwałego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uszkodzenia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(istotne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uszkodzenie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jest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zdefiniowane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jako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obecne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zwłóknienie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atrofia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dołku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albo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istotna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tarczowata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blizna);</w:t>
            </w:r>
          </w:p>
          <w:p w14:paraId="4B0ED72A" w14:textId="3ABA3760" w:rsidR="003E457B" w:rsidRPr="009B7FF4" w:rsidRDefault="003E457B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stwierdzonych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ChPL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wiedzę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medyczną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C54E6" w14:textId="3B155847" w:rsidR="00094AF0" w:rsidRPr="009B7FF4" w:rsidRDefault="002A61EC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antykoncepcji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ChPL.</w:t>
            </w:r>
          </w:p>
          <w:p w14:paraId="3FE08512" w14:textId="0A3F2062" w:rsidR="00B6705B" w:rsidRPr="009B7FF4" w:rsidRDefault="004F31D3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AB6ED4" w:rsidRPr="009B7FF4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9B7FF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9B7FF4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9B7FF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9B7FF4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9B7FF4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227953A4" w14:textId="77777777" w:rsidR="00F35590" w:rsidRPr="009B7FF4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4134E6" w14:textId="7DE8D1D0" w:rsidR="00B6705B" w:rsidRPr="009B7FF4" w:rsidRDefault="001C6EFE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9F5" w:rsidRPr="009B7F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9B7FF4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wprowadzeniem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wysiękowej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AMD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doszklistkowymi</w:t>
            </w:r>
            <w:proofErr w:type="spellEnd"/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56EE5" w:rsidRPr="009B7FF4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="00456EE5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9B7FF4">
              <w:rPr>
                <w:rFonts w:ascii="Times New Roman" w:hAnsi="Times New Roman" w:cs="Times New Roman"/>
                <w:sz w:val="20"/>
                <w:szCs w:val="20"/>
              </w:rPr>
              <w:t>brolucizumabu</w:t>
            </w:r>
            <w:proofErr w:type="spellEnd"/>
            <w:r w:rsidR="00456EE5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9B7FF4">
              <w:rPr>
                <w:rFonts w:ascii="Times New Roman" w:hAnsi="Times New Roman" w:cs="Times New Roman"/>
                <w:sz w:val="20"/>
                <w:szCs w:val="20"/>
              </w:rPr>
              <w:t>farycymabu</w:t>
            </w:r>
            <w:proofErr w:type="spellEnd"/>
            <w:r w:rsidR="00456EE5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9B7FF4">
              <w:rPr>
                <w:rFonts w:ascii="Times New Roman" w:hAnsi="Times New Roman" w:cs="Times New Roman"/>
                <w:sz w:val="20"/>
                <w:szCs w:val="20"/>
              </w:rPr>
              <w:t>ranibizumabu</w:t>
            </w:r>
            <w:proofErr w:type="spellEnd"/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99714E0" w14:textId="2FE09865" w:rsidR="00B6705B" w:rsidRPr="009B7FF4" w:rsidRDefault="00B6705B" w:rsidP="00BC5F49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gwarantowanych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rozliczanych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491E" w:rsidRPr="009B7FF4">
              <w:rPr>
                <w:rFonts w:ascii="Times New Roman" w:hAnsi="Times New Roman"/>
                <w:sz w:val="20"/>
                <w:szCs w:val="20"/>
              </w:rPr>
              <w:t>JGP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B84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małe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zabiegi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witreoretinalne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08AD7D" w14:textId="6868F7ED" w:rsidR="00B6705B" w:rsidRPr="009B7FF4" w:rsidRDefault="00B6705B" w:rsidP="00BC5F49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F485A1" w14:textId="3C481636" w:rsidR="00B6705B" w:rsidRPr="009B7FF4" w:rsidRDefault="00B6705B" w:rsidP="00BC5F49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świadczeniodawców,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posiadali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umowy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udzielanie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opieki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zdrowotnej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finansowanych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środków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publicznych</w:t>
            </w:r>
          </w:p>
          <w:p w14:paraId="5FA738F7" w14:textId="218ACC7C" w:rsidR="00B6705B" w:rsidRPr="009B7FF4" w:rsidRDefault="00C9292F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wykazano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wtedy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9B7FF4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224822A2" w14:textId="77777777" w:rsidR="00F35590" w:rsidRPr="009B7FF4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0ADC6" w14:textId="36DDFFC4" w:rsidR="00B6705B" w:rsidRPr="009B7FF4" w:rsidRDefault="00B6705B" w:rsidP="00BC5F49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4FAC664B" w14:textId="57ACDE65" w:rsidR="00B6705B" w:rsidRPr="009B7FF4" w:rsidRDefault="00B6705B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wyłączenia.</w:t>
            </w:r>
          </w:p>
          <w:p w14:paraId="4FD08C44" w14:textId="77777777" w:rsidR="00554503" w:rsidRPr="009B7FF4" w:rsidRDefault="00554503" w:rsidP="00554503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 włączenia do leczenia dokonuje lekarz prowadzący na podstawie kryteriów włączenia.</w:t>
            </w:r>
          </w:p>
          <w:p w14:paraId="28BA9F4B" w14:textId="77777777" w:rsidR="00554503" w:rsidRPr="009B7FF4" w:rsidRDefault="00554503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EB2F2" w14:textId="77777777" w:rsidR="00F35590" w:rsidRPr="009B7FF4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64BF2" w14:textId="68D14148" w:rsidR="00B6705B" w:rsidRPr="009B7FF4" w:rsidRDefault="00B6705B" w:rsidP="00BC5F49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4E0A2AED" w14:textId="68C65F98" w:rsidR="00B6705B" w:rsidRPr="009B7FF4" w:rsidRDefault="00B6705B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jako:</w:t>
            </w:r>
          </w:p>
          <w:p w14:paraId="771D9705" w14:textId="59103617" w:rsidR="00B6705B" w:rsidRPr="009B7FF4" w:rsidRDefault="00B6705B" w:rsidP="00BC5F49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najlepszej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skorygowanej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&lt;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0,2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określonej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Snellena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ETDRS)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miesiące</w:t>
            </w:r>
          </w:p>
          <w:p w14:paraId="45379241" w14:textId="77777777" w:rsidR="00B6705B" w:rsidRPr="009B7FF4" w:rsidRDefault="00B6705B" w:rsidP="00BC5F49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7FF28FC4" w14:textId="319948A6" w:rsidR="00B6705B" w:rsidRPr="009B7FF4" w:rsidRDefault="00B6705B" w:rsidP="00BC5F49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trwałego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uszkodzenia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dołka,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uniemożliwia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stabilizacji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czynnościowej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(istotne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uszkodzenie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jest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zdefiniowane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jako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obecne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zwłóknienie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atrofia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dołku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albo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istotna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tarczowata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blizna);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3C1940" w14:textId="78F45142" w:rsidR="0000026F" w:rsidRPr="009B7FF4" w:rsidRDefault="0000026F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631658D6" w14:textId="0BC357AD" w:rsidR="0000026F" w:rsidRPr="009B7FF4" w:rsidRDefault="0000026F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lekiem,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1B1F410" w14:textId="7FD25687" w:rsidR="00BC5F49" w:rsidRPr="009B7FF4" w:rsidRDefault="00BC5F49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zakażenie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okolic;</w:t>
            </w:r>
          </w:p>
          <w:p w14:paraId="52ECF87B" w14:textId="176761D5" w:rsidR="00BC5F49" w:rsidRPr="009B7FF4" w:rsidRDefault="00BC5F49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wnętrza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gałki;</w:t>
            </w:r>
          </w:p>
          <w:p w14:paraId="68056B76" w14:textId="555F59D9" w:rsidR="00BC5F49" w:rsidRPr="009B7FF4" w:rsidRDefault="00BC5F49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przedarciowe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otwór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3.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4.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stopnia;</w:t>
            </w:r>
          </w:p>
          <w:p w14:paraId="7D2A56E7" w14:textId="1E756FCC" w:rsidR="00B6705B" w:rsidRPr="009B7FF4" w:rsidRDefault="00B6705B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5F49" w:rsidRPr="009B7FF4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B443CC9" w14:textId="255FF9D0" w:rsidR="00B6705B" w:rsidRPr="009B7FF4" w:rsidRDefault="00B6705B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wymagającej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obowiązującą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ChPL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wiedzą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medyczną</w:t>
            </w:r>
            <w:r w:rsidR="00A849F5"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20BEBD" w14:textId="76D85BBB" w:rsidR="00B6705B" w:rsidRPr="009B7FF4" w:rsidRDefault="00B6705B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okres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4A46CAAC" w14:textId="0F2F2C81" w:rsidR="00B6705B" w:rsidRPr="009B7FF4" w:rsidRDefault="00B6705B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aktywnego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5E36"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5E36"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podania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ostatniej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dawki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leku;</w:t>
            </w:r>
          </w:p>
          <w:p w14:paraId="19C4D01F" w14:textId="0318A857" w:rsidR="00B6705B" w:rsidRPr="009B7FF4" w:rsidRDefault="00B6705B" w:rsidP="00BC5F49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lekarzem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prowadzącym:</w:t>
            </w:r>
          </w:p>
          <w:p w14:paraId="1D24B53E" w14:textId="11BE63CA" w:rsidR="00B6705B" w:rsidRPr="009B7FF4" w:rsidRDefault="00B6705B" w:rsidP="00BC5F49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niestosowanie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(uchylanie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wykonywania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badań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laboratoryjnych)</w:t>
            </w:r>
            <w:r w:rsidR="00C9292F" w:rsidRPr="009B7FF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317B6EE" w14:textId="0C2E4AE6" w:rsidR="00207D07" w:rsidRPr="009B7FF4" w:rsidRDefault="00207D07" w:rsidP="00BC5F49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nieregularne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(pominięcie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kolejnych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dawek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leku)</w:t>
            </w:r>
            <w:r w:rsidR="00C9292F" w:rsidRPr="009B7FF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ED2C113" w14:textId="38AF17E8" w:rsidR="00EA7951" w:rsidRPr="009B7FF4" w:rsidRDefault="00B6705B" w:rsidP="00BC5F49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monitorowaniu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(niezgłaszanie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powodów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nieuzasadnionych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punkty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kontrolne</w:t>
            </w:r>
            <w:r w:rsidR="00207D07" w:rsidRPr="009B7FF4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C48CCB2" w14:textId="0E200B6C" w:rsidR="00F35590" w:rsidRPr="009B7FF4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7C5E" w14:textId="77777777" w:rsidR="006A6913" w:rsidRPr="009B7FF4" w:rsidRDefault="00207D07" w:rsidP="00273287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37E24BE2" w14:textId="2C87A112" w:rsidR="00981CE9" w:rsidRPr="009B7FF4" w:rsidRDefault="00981CE9" w:rsidP="00273287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Zalecane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dawki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jedno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wstrzyknięcie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doszklistkowe</w:t>
            </w:r>
            <w:proofErr w:type="spellEnd"/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to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µl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roztworu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(0,05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ml),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odpowiada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7F85ED7F" w14:textId="01A8D833" w:rsidR="00981CE9" w:rsidRPr="009B7FF4" w:rsidRDefault="00981CE9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mg</w:t>
            </w:r>
            <w:r w:rsidR="000F5E36"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D39A48E" w14:textId="76D30590" w:rsidR="000F5E36" w:rsidRPr="009B7FF4" w:rsidRDefault="000F5E36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mg;</w:t>
            </w:r>
          </w:p>
          <w:p w14:paraId="476A95E1" w14:textId="432AE0DA" w:rsidR="000F5E36" w:rsidRPr="009B7FF4" w:rsidRDefault="000F5E36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mg;</w:t>
            </w:r>
          </w:p>
          <w:p w14:paraId="4FF51D84" w14:textId="0A9DB7FD" w:rsidR="00981CE9" w:rsidRPr="009B7FF4" w:rsidRDefault="00981CE9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0,5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mg</w:t>
            </w:r>
            <w:r w:rsidR="000F5E36"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C7B4287" w14:textId="77777777" w:rsidR="00F35590" w:rsidRPr="009B7FF4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39FE8" w14:textId="1092290A" w:rsidR="00981CE9" w:rsidRPr="009B7FF4" w:rsidRDefault="00981CE9" w:rsidP="00273287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Rozpoczęcie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nasycająca</w:t>
            </w:r>
          </w:p>
          <w:p w14:paraId="3B8A6252" w14:textId="468A2DBE" w:rsidR="00981CE9" w:rsidRPr="009B7FF4" w:rsidRDefault="00D6087F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9B7FF4">
              <w:rPr>
                <w:rFonts w:ascii="Times New Roman" w:hAnsi="Times New Roman" w:cs="Times New Roman"/>
                <w:sz w:val="20"/>
                <w:szCs w:val="20"/>
              </w:rPr>
              <w:t>iniekcja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9B7FF4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9B7FF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9B7FF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9B7FF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9B7FF4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9B7FF4">
              <w:rPr>
                <w:rFonts w:ascii="Times New Roman" w:hAnsi="Times New Roman" w:cs="Times New Roman"/>
                <w:sz w:val="20"/>
                <w:szCs w:val="20"/>
              </w:rPr>
              <w:t>przez:</w:t>
            </w:r>
          </w:p>
          <w:p w14:paraId="46EAB1DD" w14:textId="523CB2B1" w:rsidR="00981CE9" w:rsidRPr="009B7FF4" w:rsidRDefault="00981CE9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3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miesiące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4B64F77" w14:textId="448A51B1" w:rsidR="00981CE9" w:rsidRPr="009B7FF4" w:rsidRDefault="00981CE9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miesiące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273B10" w14:textId="1153A6E0" w:rsidR="00FB7843" w:rsidRPr="009B7FF4" w:rsidRDefault="00981CE9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czasu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uzyskania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maksymalnej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cech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tj.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zmian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przedmiotowych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podczas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kontynuowania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11D4313" w14:textId="77777777" w:rsidR="00F35590" w:rsidRPr="009B7FF4" w:rsidRDefault="00F35590" w:rsidP="00BC5F49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E87E8" w14:textId="0F35A809" w:rsidR="00981CE9" w:rsidRPr="009B7FF4" w:rsidRDefault="00981CE9" w:rsidP="00273287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podtrzymująca</w:t>
            </w:r>
          </w:p>
          <w:p w14:paraId="0440D136" w14:textId="41CA83FA" w:rsidR="00981CE9" w:rsidRPr="009B7FF4" w:rsidRDefault="00981CE9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Schemat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ustalany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590" w:rsidRPr="009B7FF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zasadą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treat</w:t>
            </w:r>
            <w:proofErr w:type="spellEnd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-and-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extend</w:t>
            </w:r>
            <w:proofErr w:type="spellEnd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Odstępy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między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podaniami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skracane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wydłużane,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podtrzymać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anatomicznych,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poniższymi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zapisami:</w:t>
            </w:r>
          </w:p>
          <w:p w14:paraId="34A0157E" w14:textId="5C51A204" w:rsidR="00FE7ED7" w:rsidRPr="009B7FF4" w:rsidRDefault="00981CE9" w:rsidP="00FE7ED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066B" w:rsidRPr="009B7FF4">
              <w:rPr>
                <w:rFonts w:ascii="Times New Roman" w:hAnsi="Times New Roman"/>
                <w:sz w:val="20"/>
                <w:szCs w:val="20"/>
              </w:rPr>
              <w:t>co 8 tygodni, ale nie później niż 7 dni po upływie tego terminu,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066B" w:rsidRPr="009B7FF4">
              <w:rPr>
                <w:rFonts w:ascii="Times New Roman" w:hAnsi="Times New Roman"/>
                <w:sz w:val="20"/>
                <w:szCs w:val="20"/>
              </w:rPr>
              <w:t xml:space="preserve">lub skrócić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C9292F" w:rsidRPr="009B7FF4">
              <w:rPr>
                <w:rFonts w:ascii="Times New Roman" w:hAnsi="Times New Roman"/>
                <w:sz w:val="20"/>
                <w:szCs w:val="20"/>
              </w:rPr>
              <w:t>;</w:t>
            </w:r>
            <w:r w:rsidR="0000066B" w:rsidRPr="009B7FF4">
              <w:rPr>
                <w:rFonts w:ascii="Times New Roman" w:hAnsi="Times New Roman"/>
                <w:sz w:val="20"/>
                <w:szCs w:val="20"/>
              </w:rPr>
              <w:t xml:space="preserve"> minimalny odstęp między iniekcjami wynosi 4 tygodnie, a maksymalny 16 tygodni;</w:t>
            </w:r>
          </w:p>
          <w:p w14:paraId="28C1029E" w14:textId="5C3D9133" w:rsidR="000F5E36" w:rsidRPr="009B7FF4" w:rsidRDefault="000F5E36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3287" w:rsidRPr="009B7FF4">
              <w:rPr>
                <w:rFonts w:ascii="Times New Roman" w:hAnsi="Times New Roman"/>
                <w:sz w:val="20"/>
                <w:szCs w:val="20"/>
              </w:rPr>
              <w:t xml:space="preserve">minimum co 8 tygodni i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maksimum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tygodni,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terminu;</w:t>
            </w:r>
          </w:p>
          <w:p w14:paraId="0F8E2A2A" w14:textId="05ED0388" w:rsidR="000F5E36" w:rsidRPr="009B7FF4" w:rsidRDefault="00273287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 xml:space="preserve"> – iniekcje wykonuje się co 16 tygodni (u pacjentów bez aktywności choroby) lub 8 lub 12 tygodni (u pacjentów z aktywnością choroby), jednorazowo odstęp między dawkami można zwiększać do maksymalnie 16 tygodni i skracać minimalnie do 8 tygodni</w:t>
            </w:r>
            <w:r w:rsidR="000F5E36"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7C34476" w14:textId="1692261B" w:rsidR="00981CE9" w:rsidRPr="009B7FF4" w:rsidRDefault="00981CE9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tygodnie,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0F5E36"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FCF757B" w14:textId="77777777" w:rsidR="00BC5F49" w:rsidRPr="009B7FF4" w:rsidRDefault="00BC5F49" w:rsidP="00BC5F49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41E955" w14:textId="375A55CF" w:rsidR="00C9292F" w:rsidRPr="009B7FF4" w:rsidRDefault="00C9292F" w:rsidP="007A43BD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C491E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82847"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rozpoczętej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A6CE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poza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A6CE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programem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0A68DFB" w14:textId="13634181" w:rsidR="00981CE9" w:rsidRPr="009B7FF4" w:rsidRDefault="00981CE9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zakwalifikowanych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źródła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dostosować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etapu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jakim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znajduje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pacjent.</w:t>
            </w:r>
          </w:p>
          <w:p w14:paraId="715C5663" w14:textId="77777777" w:rsidR="00F35590" w:rsidRPr="009B7FF4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C09C8" w14:textId="38895601" w:rsidR="009357CD" w:rsidRPr="009B7FF4" w:rsidRDefault="009357CD" w:rsidP="005B512B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Wstrzymanie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podawania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</w:p>
          <w:p w14:paraId="632FFACC" w14:textId="1BAA40E7" w:rsidR="009357CD" w:rsidRPr="009B7FF4" w:rsidRDefault="009357CD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odroczyć,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wystąpi:</w:t>
            </w:r>
          </w:p>
          <w:p w14:paraId="42B54657" w14:textId="68FC710B" w:rsidR="009357CD" w:rsidRPr="009B7FF4" w:rsidRDefault="009357CD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śródgałkowe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30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mmHg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(utrzymujące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leczenia);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585677" w14:textId="3487CCEC" w:rsidR="009357CD" w:rsidRPr="009B7FF4" w:rsidRDefault="009357CD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rozerwanie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3AF9EB6C" w14:textId="7AE29DB6" w:rsidR="009357CD" w:rsidRPr="009B7FF4" w:rsidRDefault="009357CD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wylew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podsiatkówkowy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obejmujący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centrum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jeśli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wielkość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wylewu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wynosi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50%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całkowitej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zmiany;</w:t>
            </w:r>
          </w:p>
          <w:p w14:paraId="20C9600F" w14:textId="4741B2D7" w:rsidR="009357CD" w:rsidRPr="009B7FF4" w:rsidRDefault="009357CD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planowanie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wewnątrzgałkowej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długości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okresu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operacją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decyduje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prowadzący);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76E069" w14:textId="29E14F31" w:rsidR="009357CD" w:rsidRPr="009B7FF4" w:rsidRDefault="009357CD" w:rsidP="00273287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tj.,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gdy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stwierdza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wzrostu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wielkości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zmiany,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nowych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krwotoków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wysięków,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nawet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stale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istnieją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torbiele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śródsiatkówkowe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kanaliki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oznaczające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zmiany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przewlekłe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(podawanie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odroczyć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drugiego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D651CE" w:rsidRPr="009B7FF4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651CE"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pierwszego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leczenia).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FF6C5A" w14:textId="339DA6A2" w:rsidR="009357CD" w:rsidRPr="009B7FF4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odroczeniu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decyduje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9B7FF4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60EB2DDB" w14:textId="77777777" w:rsidR="00F35590" w:rsidRPr="009B7FF4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76320" w14:textId="048E4B3A" w:rsidR="009357CD" w:rsidRPr="009B7FF4" w:rsidRDefault="009357CD" w:rsidP="00273287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6B29799" w14:textId="58C5AD2C" w:rsidR="009357CD" w:rsidRPr="009B7FF4" w:rsidRDefault="009357CD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dotychczasowej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zmienić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dotychczas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(pod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programu)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inną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finansowaną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ramach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iniekcjach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samego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leku:</w:t>
            </w:r>
          </w:p>
          <w:p w14:paraId="5C6E7B4F" w14:textId="4E5EC332" w:rsidR="009357CD" w:rsidRPr="009B7FF4" w:rsidRDefault="009357CD" w:rsidP="00273287">
            <w:pPr>
              <w:pStyle w:val="Akapitzlist"/>
              <w:numPr>
                <w:ilvl w:val="4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podanych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nowych,</w:t>
            </w:r>
          </w:p>
          <w:p w14:paraId="157D5E6B" w14:textId="711D25AC" w:rsidR="009357CD" w:rsidRPr="009B7FF4" w:rsidRDefault="009357CD" w:rsidP="00273287">
            <w:pPr>
              <w:pStyle w:val="Akapitzlist"/>
              <w:numPr>
                <w:ilvl w:val="4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9B7FF4">
              <w:rPr>
                <w:rFonts w:ascii="Times New Roman" w:hAnsi="Times New Roman"/>
                <w:sz w:val="20"/>
                <w:szCs w:val="20"/>
              </w:rPr>
              <w:t>początku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9B7FF4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zakwalifikowanych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leczonych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jednorodnych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grup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świadczeniodawców,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posiadali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umowy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udzielanie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opieki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zdrowotnej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finansowanych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środków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publicznych.</w:t>
            </w:r>
          </w:p>
          <w:p w14:paraId="556AE3F1" w14:textId="77777777" w:rsidR="009357CD" w:rsidRPr="009B7FF4" w:rsidRDefault="009357CD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BE4C0" w14:textId="1B182E71" w:rsidR="009357CD" w:rsidRPr="009B7FF4" w:rsidRDefault="009357CD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uznać:</w:t>
            </w:r>
          </w:p>
          <w:p w14:paraId="48A33DDE" w14:textId="36A598FD" w:rsidR="009357CD" w:rsidRPr="009B7FF4" w:rsidRDefault="009357CD" w:rsidP="00273287">
            <w:pPr>
              <w:pStyle w:val="Akapitzlist"/>
              <w:numPr>
                <w:ilvl w:val="4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stosunku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spełnienia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programu</w:t>
            </w:r>
          </w:p>
          <w:p w14:paraId="39893641" w14:textId="77777777" w:rsidR="009357CD" w:rsidRPr="009B7FF4" w:rsidRDefault="009357CD" w:rsidP="00BC5F49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FF335D3" w14:textId="2549075D" w:rsidR="009357CD" w:rsidRPr="009B7FF4" w:rsidRDefault="009357CD" w:rsidP="00273287">
            <w:pPr>
              <w:pStyle w:val="Akapitzlist"/>
              <w:numPr>
                <w:ilvl w:val="4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utrzymującą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cyklicznie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nawracającą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tj.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płyn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podsiatkówkowy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obrzęk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siatkówki,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spełnienia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gdy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doszło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nieodwracalnych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zmian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bliznowacenia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zaniku.</w:t>
            </w:r>
          </w:p>
          <w:p w14:paraId="3FE1ABDF" w14:textId="365F986C" w:rsidR="009357CD" w:rsidRPr="009B7FF4" w:rsidRDefault="009357CD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932" w14:textId="7E8C784A" w:rsidR="006A6913" w:rsidRPr="009B7FF4" w:rsidRDefault="00C92368" w:rsidP="00BC5F49">
            <w:pPr>
              <w:pStyle w:val="Akapitzlist"/>
              <w:numPr>
                <w:ilvl w:val="0"/>
                <w:numId w:val="10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9518AFB" w14:textId="369E32CD" w:rsidR="00C92368" w:rsidRPr="009B7FF4" w:rsidRDefault="00C92368" w:rsidP="00BC5F49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Snellena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684D85C4" w14:textId="4F54A99F" w:rsidR="00C92368" w:rsidRPr="009B7FF4" w:rsidRDefault="00C92368" w:rsidP="00BC5F49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01118E18" w14:textId="6A435990" w:rsidR="00C92368" w:rsidRPr="009B7FF4" w:rsidRDefault="00C92368" w:rsidP="00BC5F49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oka;</w:t>
            </w:r>
          </w:p>
          <w:p w14:paraId="1984D2B0" w14:textId="788C56A8" w:rsidR="00C92368" w:rsidRPr="009B7FF4" w:rsidRDefault="00C92368" w:rsidP="00BC5F49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)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uczulenia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barwnik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stosowany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razie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jednoznacznych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odstąpić.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Fakt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odstąpienia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opisać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przekazać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C9292F"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A244A9D" w14:textId="249A71B7" w:rsidR="00C92368" w:rsidRPr="009B7FF4" w:rsidRDefault="00FB7843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przedłużającego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obserwacji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9B7FF4">
              <w:rPr>
                <w:rFonts w:ascii="Times New Roman" w:hAnsi="Times New Roman" w:cs="Times New Roman"/>
                <w:sz w:val="20"/>
                <w:szCs w:val="20"/>
              </w:rPr>
              <w:t>(pkt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9B7F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9B7FF4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9B7FF4">
              <w:rPr>
                <w:rFonts w:ascii="Times New Roman" w:hAnsi="Times New Roman" w:cs="Times New Roman"/>
                <w:sz w:val="20"/>
                <w:szCs w:val="20"/>
              </w:rPr>
              <w:t>wyłączenia),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kwalifikację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opierać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wątpliwych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ekspert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poprosić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E36" w:rsidRPr="009B7FF4">
              <w:rPr>
                <w:rFonts w:ascii="Times New Roman" w:hAnsi="Times New Roman" w:cs="Times New Roman"/>
                <w:sz w:val="20"/>
                <w:szCs w:val="20"/>
              </w:rPr>
              <w:t>rozszerzenie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pełnego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9B7FF4">
              <w:rPr>
                <w:rFonts w:ascii="Times New Roman" w:hAnsi="Times New Roman" w:cs="Times New Roman"/>
                <w:sz w:val="20"/>
                <w:szCs w:val="20"/>
              </w:rPr>
              <w:t>zakresu.</w:t>
            </w:r>
          </w:p>
          <w:p w14:paraId="14286064" w14:textId="77777777" w:rsidR="00FF0956" w:rsidRPr="009B7FF4" w:rsidRDefault="00FF0956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7EEFA" w14:textId="04108B00" w:rsidR="00C92368" w:rsidRPr="009B7FF4" w:rsidRDefault="00C92368" w:rsidP="00BC5F49">
            <w:pPr>
              <w:pStyle w:val="Akapitzlist"/>
              <w:numPr>
                <w:ilvl w:val="0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632967B" w14:textId="2E3348D9" w:rsidR="00C92368" w:rsidRPr="009B7FF4" w:rsidRDefault="00C92368" w:rsidP="00BC5F49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Snellena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0DC3E745" w14:textId="03BDBE6D" w:rsidR="00C92368" w:rsidRPr="009B7FF4" w:rsidRDefault="00C92368" w:rsidP="00BC5F49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468EFAA6" w14:textId="1AE61BAA" w:rsidR="00C92368" w:rsidRPr="009B7FF4" w:rsidRDefault="00B5324B" w:rsidP="00BC5F49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opcjonalnie</w:t>
            </w:r>
            <w:r w:rsidR="00C92368" w:rsidRPr="009B7F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31BA7F1" w14:textId="5B7323D1" w:rsidR="00C92368" w:rsidRPr="009B7FF4" w:rsidRDefault="00C92368" w:rsidP="00BC5F49">
            <w:pPr>
              <w:pStyle w:val="Akapitzlist"/>
              <w:numPr>
                <w:ilvl w:val="4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oka</w:t>
            </w:r>
            <w:r w:rsidR="002A6CE7" w:rsidRPr="009B7FF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1957D04" w14:textId="6500DA17" w:rsidR="00C92368" w:rsidRPr="009B7FF4" w:rsidRDefault="00C92368" w:rsidP="00BC5F49">
            <w:pPr>
              <w:pStyle w:val="Akapitzlist"/>
              <w:numPr>
                <w:ilvl w:val="4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)</w:t>
            </w:r>
            <w:r w:rsidR="00FB7843"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F77DF27" w14:textId="711EBA66" w:rsidR="00C92368" w:rsidRPr="009B7FF4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przeprowadza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podaniem,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harmonogramem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dawkowania.</w:t>
            </w:r>
          </w:p>
          <w:p w14:paraId="4DC60EB1" w14:textId="31728F4C" w:rsidR="00C92368" w:rsidRPr="009B7FF4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wymogu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pomiędzy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wstrzyknięciami.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harmonogram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częstszy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harmonogram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wstrzyknięć.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22E88F3" w14:textId="600EE586" w:rsidR="00C92368" w:rsidRPr="009B7FF4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ww.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wskaźniki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0E48AB4C" w14:textId="216FC8FF" w:rsidR="00C92368" w:rsidRPr="009B7FF4" w:rsidRDefault="00C92368" w:rsidP="00BC5F49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poprawy,</w:t>
            </w:r>
          </w:p>
          <w:p w14:paraId="14E02DFF" w14:textId="0CFFB9F5" w:rsidR="00C92368" w:rsidRPr="009B7FF4" w:rsidRDefault="00C92368" w:rsidP="00BC5F49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stabilizację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choroby,</w:t>
            </w:r>
          </w:p>
          <w:p w14:paraId="775149A1" w14:textId="5A375754" w:rsidR="00C92368" w:rsidRPr="009B7FF4" w:rsidRDefault="00C92368" w:rsidP="00BC5F49">
            <w:pPr>
              <w:pStyle w:val="Akapitzlist"/>
              <w:numPr>
                <w:ilvl w:val="4"/>
                <w:numId w:val="1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progresję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2DEB8C1E" w14:textId="10559F55" w:rsidR="00B71B38" w:rsidRPr="009B7FF4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Dane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gromadzone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6BA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6666BA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analizowane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Koordynacyjny,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podsumowuje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koniec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roku.</w:t>
            </w:r>
          </w:p>
          <w:p w14:paraId="5AD7A4C9" w14:textId="77777777" w:rsidR="00FF0956" w:rsidRPr="009B7FF4" w:rsidRDefault="00FF0956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0C07F" w14:textId="12160225" w:rsidR="00C92368" w:rsidRPr="009B7FF4" w:rsidRDefault="00C92368" w:rsidP="00BC5F49">
            <w:pPr>
              <w:pStyle w:val="Akapitzlist"/>
              <w:numPr>
                <w:ilvl w:val="0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5125B17C" w14:textId="5986746C" w:rsidR="00C92368" w:rsidRPr="009B7FF4" w:rsidRDefault="00C92368" w:rsidP="00BC5F49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NFZ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zakresu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sprawozdawczo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rozliczeniowych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formie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elektronicznej,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E16CAB9" w14:textId="64E857FA" w:rsidR="00C92368" w:rsidRPr="009B7FF4" w:rsidRDefault="00C92368" w:rsidP="00BC5F49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66BA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6666BA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lekowych,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wskaźników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pkt.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NFZ,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opisem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F8B505E" w14:textId="476227C7" w:rsidR="00C92368" w:rsidRPr="009B7FF4" w:rsidRDefault="00C92368" w:rsidP="00BC5F49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dane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dotyczące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gromadzić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każdorazowo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przedstawiać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kontrolerom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NFZ.</w:t>
            </w:r>
          </w:p>
        </w:tc>
      </w:tr>
      <w:tr w:rsidR="00997525" w:rsidRPr="009B7FF4" w14:paraId="2E041FD2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6E2A" w14:textId="095F0407" w:rsidR="00997525" w:rsidRPr="009B7FF4" w:rsidRDefault="00BD1C35" w:rsidP="00D608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LECZENIE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PACJENTÓW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CUKRZYCOWYM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OBRZĘKIEM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982847"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(DME)</w:t>
            </w:r>
          </w:p>
        </w:tc>
      </w:tr>
      <w:tr w:rsidR="004C5660" w:rsidRPr="006676BB" w14:paraId="5AA6DDB1" w14:textId="77777777" w:rsidTr="00982847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DE61" w14:textId="2F7FAA13" w:rsidR="004C5660" w:rsidRPr="009B7FF4" w:rsidRDefault="004C5660" w:rsidP="00D859FF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pierwszorazowych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nieskutecznie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prowadzącego.</w:t>
            </w:r>
          </w:p>
          <w:p w14:paraId="4FB0544A" w14:textId="324CC543" w:rsidR="00970B40" w:rsidRPr="009B7FF4" w:rsidRDefault="004C5660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źródeł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9B7FF4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9B7FF4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9B7FF4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9B7FF4">
              <w:rPr>
                <w:rFonts w:ascii="Times New Roman" w:hAnsi="Times New Roman" w:cs="Times New Roman"/>
                <w:sz w:val="20"/>
                <w:szCs w:val="20"/>
              </w:rPr>
              <w:t>Koordynacyjny)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udokumentowaniu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otrzymania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iniekcji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anty-VEGF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poprzednim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etapie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433BE006" w14:textId="24B0F926" w:rsidR="004C5660" w:rsidRPr="009B7FF4" w:rsidRDefault="004C5660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6B0E2E1A" w14:textId="4AB5EF06" w:rsidR="004C5660" w:rsidRPr="009B7FF4" w:rsidRDefault="004C5660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cukrzycowego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38E03EA" w14:textId="77777777" w:rsidR="000F5E36" w:rsidRPr="009B7FF4" w:rsidRDefault="000F5E36" w:rsidP="00D859FF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0B992D" w14:textId="536F9F64" w:rsidR="004C5660" w:rsidRPr="009B7FF4" w:rsidRDefault="00970B40" w:rsidP="00D859FF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C5DFE3" w14:textId="77777777" w:rsidR="000F5E36" w:rsidRPr="009B7FF4" w:rsidRDefault="000F5E36" w:rsidP="00D859FF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2B096E" w14:textId="701F6382" w:rsidR="000F5E36" w:rsidRPr="009B7FF4" w:rsidRDefault="000F5E36" w:rsidP="00D859FF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deksametazon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implantu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doszklistkowego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656C0C" w14:textId="77777777" w:rsidR="000F5E36" w:rsidRPr="009B7FF4" w:rsidRDefault="000F5E36" w:rsidP="00D859FF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A76990" w14:textId="307FF506" w:rsidR="004C5660" w:rsidRPr="009B7FF4" w:rsidRDefault="00970B40" w:rsidP="00D859FF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0F5E36"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6D2D940" w14:textId="77777777" w:rsidR="00791B6E" w:rsidRPr="009B7FF4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669DF" w14:textId="669754FE" w:rsidR="004C5660" w:rsidRPr="009B7FF4" w:rsidRDefault="004C5660" w:rsidP="00D859FF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2379AEAE" w14:textId="43A52DF4" w:rsidR="004C5660" w:rsidRPr="009B7FF4" w:rsidRDefault="004C5660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rozlanego,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znamiennego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obrzęku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plamki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(DME)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zajęciem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(DRT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postać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gąbczasta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(rozlana),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CME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59FF"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postać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torbielowata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SRD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(postać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surowicza);</w:t>
            </w:r>
          </w:p>
          <w:p w14:paraId="0E2F14E4" w14:textId="21E33CCD" w:rsidR="004C5660" w:rsidRPr="009B7FF4" w:rsidRDefault="004C5660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wiek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18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9B7FF4">
              <w:rPr>
                <w:rFonts w:ascii="Times New Roman" w:hAnsi="Times New Roman"/>
                <w:sz w:val="20"/>
                <w:szCs w:val="20"/>
              </w:rPr>
              <w:t>lat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9B7FF4">
              <w:rPr>
                <w:rFonts w:ascii="Times New Roman" w:hAnsi="Times New Roman"/>
                <w:sz w:val="20"/>
                <w:szCs w:val="20"/>
              </w:rPr>
              <w:t>powyżej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4133D6" w14:textId="6CCE5DEE" w:rsidR="004C5660" w:rsidRPr="009B7FF4" w:rsidRDefault="004C5660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najlepsza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skorygowana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ostrość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leczonym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0,2-0,8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Snellena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ETDRS);</w:t>
            </w:r>
          </w:p>
          <w:p w14:paraId="436E7DBF" w14:textId="3442210A" w:rsidR="004C5660" w:rsidRPr="009B7FF4" w:rsidRDefault="004C5660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doszklistkowych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835E4EC" w14:textId="0941983A" w:rsidR="00142FFA" w:rsidRPr="009B7FF4" w:rsidRDefault="00142FFA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95A75D1" w14:textId="1D6C33BB" w:rsidR="004C5660" w:rsidRPr="009B7FF4" w:rsidRDefault="00142FFA" w:rsidP="00D859FF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7B07"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bewacyzumabem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: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rozpocząć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bez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względu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poziom,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5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dawkach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poziom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9B7FF4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&gt;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9%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kontynuować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samym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lekiem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osiągnięcia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9B7FF4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≤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9%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kiedy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9B7FF4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9B7FF4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9B7FF4">
              <w:rPr>
                <w:rFonts w:ascii="Times New Roman" w:hAnsi="Times New Roman"/>
                <w:sz w:val="20"/>
                <w:szCs w:val="20"/>
              </w:rPr>
              <w:t>może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9B7FF4">
              <w:rPr>
                <w:rFonts w:ascii="Times New Roman" w:hAnsi="Times New Roman"/>
                <w:sz w:val="20"/>
                <w:szCs w:val="20"/>
              </w:rPr>
              <w:t>podjąć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9B7FF4">
              <w:rPr>
                <w:rFonts w:ascii="Times New Roman" w:hAnsi="Times New Roman"/>
                <w:sz w:val="20"/>
                <w:szCs w:val="20"/>
              </w:rPr>
              <w:t>decyzję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9B7FF4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9B7FF4">
              <w:rPr>
                <w:rFonts w:ascii="Times New Roman" w:hAnsi="Times New Roman"/>
                <w:sz w:val="20"/>
                <w:szCs w:val="20"/>
              </w:rPr>
              <w:t>zmianie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9B7FF4">
              <w:rPr>
                <w:rFonts w:ascii="Times New Roman" w:hAnsi="Times New Roman"/>
                <w:sz w:val="20"/>
                <w:szCs w:val="20"/>
              </w:rPr>
              <w:t>leku;</w:t>
            </w:r>
          </w:p>
          <w:p w14:paraId="00DADC89" w14:textId="7D9F5E51" w:rsidR="004C5660" w:rsidRPr="009B7FF4" w:rsidRDefault="00E04855" w:rsidP="00D859FF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na inny lek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2FFA" w:rsidRPr="009B7FF4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42FFA"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bewacyzuma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, gdy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9B7FF4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≤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9B7FF4">
              <w:rPr>
                <w:rFonts w:ascii="Times New Roman" w:hAnsi="Times New Roman"/>
                <w:sz w:val="20"/>
                <w:szCs w:val="20"/>
              </w:rPr>
              <w:t>9%;</w:t>
            </w:r>
          </w:p>
          <w:p w14:paraId="24A89F2E" w14:textId="33581777" w:rsidR="00D859FF" w:rsidRPr="009B7FF4" w:rsidRDefault="00D859FF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dominującej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błony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przedsiatkówkowej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EF606E" w14:textId="598C496D" w:rsidR="00D859FF" w:rsidRPr="009B7FF4" w:rsidRDefault="00D859FF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włóknisto-naczyniowych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trakcji,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obkurczenie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mogłoby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wpłynąć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miało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rokowniczo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niekorzystny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wpływ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programie;</w:t>
            </w:r>
          </w:p>
          <w:p w14:paraId="4153490F" w14:textId="089C0C3B" w:rsidR="00D859FF" w:rsidRPr="009B7FF4" w:rsidRDefault="00D859FF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odwarstwienia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retinopatii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cukrzycowej;</w:t>
            </w:r>
          </w:p>
          <w:p w14:paraId="332689E9" w14:textId="0ECC4E26" w:rsidR="00D859FF" w:rsidRPr="009B7FF4" w:rsidRDefault="00D859FF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krwotoku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ciała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szklistego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wymagającego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operacyjnego;</w:t>
            </w:r>
          </w:p>
          <w:p w14:paraId="688571BB" w14:textId="7BFCE8ED" w:rsidR="00D859FF" w:rsidRPr="009B7FF4" w:rsidRDefault="00D859FF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neowaskularyzacji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tęczówki;</w:t>
            </w:r>
          </w:p>
          <w:p w14:paraId="6268F4B7" w14:textId="40FC0F3E" w:rsidR="00D859FF" w:rsidRPr="009B7FF4" w:rsidRDefault="00D859FF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jaskry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neowaskularnej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80EBE4" w14:textId="4CA24F92" w:rsidR="00D859FF" w:rsidRPr="009B7FF4" w:rsidRDefault="00D859FF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uregulowane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wewnątrzgałkowe;</w:t>
            </w:r>
          </w:p>
          <w:p w14:paraId="3FE67ABF" w14:textId="56A5702E" w:rsidR="00D859FF" w:rsidRPr="009B7FF4" w:rsidRDefault="00D859FF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zaćmy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mającej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wpływ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programie;</w:t>
            </w:r>
          </w:p>
          <w:p w14:paraId="07FFC10A" w14:textId="47F0B0D1" w:rsidR="00D859FF" w:rsidRPr="009B7FF4" w:rsidRDefault="00D859FF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trwałych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zaburzeń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nierokujących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anty-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VEGF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takich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jak:</w:t>
            </w:r>
          </w:p>
          <w:p w14:paraId="799D5354" w14:textId="0E75AB5E" w:rsidR="00D859FF" w:rsidRPr="009B7FF4" w:rsidRDefault="00D859FF" w:rsidP="00D859FF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rozległy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zanik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fotoreceptorów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zanik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warstw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zewnętrznych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siatkówki),</w:t>
            </w:r>
          </w:p>
          <w:p w14:paraId="2392AE49" w14:textId="71E65768" w:rsidR="00D859FF" w:rsidRPr="009B7FF4" w:rsidRDefault="00D859FF" w:rsidP="00D859FF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DRIL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obszarze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poddołkowym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D34E83B" w14:textId="15FC19FD" w:rsidR="00D859FF" w:rsidRPr="009B7FF4" w:rsidRDefault="00D859FF" w:rsidP="00D859FF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makulopatia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niedokrwienna;</w:t>
            </w:r>
          </w:p>
          <w:p w14:paraId="19A9B496" w14:textId="2F818B50" w:rsidR="00270DE0" w:rsidRPr="009B7FF4" w:rsidRDefault="00270DE0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59FF" w:rsidRPr="009B7FF4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stwierdzonych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PL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wiedzę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9B7FF4">
              <w:rPr>
                <w:rFonts w:ascii="Times New Roman" w:hAnsi="Times New Roman"/>
                <w:sz w:val="20"/>
                <w:szCs w:val="20"/>
              </w:rPr>
              <w:t>medyczną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1B0EA1" w14:textId="68D21F4A" w:rsidR="00094AF0" w:rsidRPr="009B7FF4" w:rsidRDefault="002A61EC" w:rsidP="00D859FF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>zgoda</w:t>
            </w:r>
            <w:r w:rsidR="00982847"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>prowadzenie</w:t>
            </w:r>
            <w:r w:rsidR="00982847"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>antykoncepcji</w:t>
            </w:r>
            <w:r w:rsidR="00982847"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>aktualną</w:t>
            </w:r>
            <w:r w:rsidR="00982847"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bCs/>
                <w:sz w:val="20"/>
                <w:szCs w:val="20"/>
              </w:rPr>
              <w:t>ChPL.</w:t>
            </w:r>
          </w:p>
          <w:p w14:paraId="4CC10215" w14:textId="57CFFE10" w:rsidR="004C5660" w:rsidRPr="009B7FF4" w:rsidRDefault="00A33E79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4CF00FF9" w14:textId="77777777" w:rsidR="00871CBC" w:rsidRPr="009B7FF4" w:rsidRDefault="00871CBC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2D923" w14:textId="581ABFAA" w:rsidR="00871CBC" w:rsidRPr="009B7FF4" w:rsidRDefault="00871CBC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F5F" w:rsidRPr="009B7F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9B7FF4">
              <w:rPr>
                <w:rFonts w:ascii="Times New Roman" w:hAnsi="Times New Roman" w:cs="Times New Roman"/>
                <w:sz w:val="20"/>
                <w:szCs w:val="20"/>
              </w:rPr>
              <w:t>(Kryteria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9B7FF4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9B7FF4">
              <w:rPr>
                <w:rFonts w:ascii="Times New Roman" w:hAnsi="Times New Roman" w:cs="Times New Roman"/>
                <w:sz w:val="20"/>
                <w:szCs w:val="20"/>
              </w:rPr>
              <w:t>terapii)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przyczyna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trwała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bewacyzumabu</w:t>
            </w:r>
            <w:proofErr w:type="spellEnd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83526F" w:rsidRPr="009B7F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wprowadzeniem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cukrzycowego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doszklistkowymi</w:t>
            </w:r>
            <w:proofErr w:type="spellEnd"/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bewacyzumabu</w:t>
            </w:r>
            <w:proofErr w:type="spellEnd"/>
            <w:r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83526F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deksametazonu</w:t>
            </w:r>
            <w:proofErr w:type="spellEnd"/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implantu:</w:t>
            </w:r>
          </w:p>
          <w:p w14:paraId="70AB230A" w14:textId="374B305D" w:rsidR="00791B6E" w:rsidRPr="009B7FF4" w:rsidRDefault="00871CBC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gwarantowanych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rozliczanych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JGP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B84</w:t>
            </w:r>
          </w:p>
          <w:p w14:paraId="1F40D6B4" w14:textId="50F8B7AC" w:rsidR="00871CBC" w:rsidRPr="009B7FF4" w:rsidRDefault="00871CBC" w:rsidP="00D859FF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57979B5" w14:textId="06074630" w:rsidR="00871CBC" w:rsidRPr="009B7FF4" w:rsidRDefault="00871CBC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świadczeniodawców,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posiadali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umowy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udzielanie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opieki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zdrowotnej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finansowanych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publicznych</w:t>
            </w:r>
          </w:p>
          <w:p w14:paraId="703EBEB6" w14:textId="4D6EC0EE" w:rsidR="00871CBC" w:rsidRPr="009B7FF4" w:rsidRDefault="00871CBC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wykazano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wtedy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50589B6F" w14:textId="77777777" w:rsidR="00791B6E" w:rsidRPr="009B7FF4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1FEE3" w14:textId="3CD26BB7" w:rsidR="004460A0" w:rsidRPr="009B7FF4" w:rsidRDefault="004460A0" w:rsidP="00D859FF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D0DE94D" w14:textId="77777777" w:rsidR="00554503" w:rsidRPr="009B7FF4" w:rsidRDefault="00554503" w:rsidP="005545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Zespół Koordynacyjny lub lekarza prowadzącego decyzji o wyłączeniu świadczeniobiorcy z programu, zgodnie z kryteriami wyłączenia.</w:t>
            </w:r>
          </w:p>
          <w:p w14:paraId="3462B9C1" w14:textId="77777777" w:rsidR="004249F8" w:rsidRPr="009B7FF4" w:rsidRDefault="004249F8" w:rsidP="00D859F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53F294" w14:textId="0D580DE3" w:rsidR="00E254B7" w:rsidRPr="009B7FF4" w:rsidRDefault="00E254B7" w:rsidP="00D859FF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przerwania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238DD0F0" w14:textId="28BF5E6A" w:rsidR="00E254B7" w:rsidRPr="009B7FF4" w:rsidRDefault="00E254B7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zakażenie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okolic;</w:t>
            </w:r>
          </w:p>
          <w:p w14:paraId="1295515F" w14:textId="2B9686B1" w:rsidR="00E254B7" w:rsidRPr="009B7FF4" w:rsidRDefault="00E254B7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wnętrza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gałki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ocznej;</w:t>
            </w:r>
          </w:p>
          <w:p w14:paraId="2605859E" w14:textId="7580C2B0" w:rsidR="00B83840" w:rsidRPr="009B7FF4" w:rsidRDefault="00B83840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błony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naczyniowej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brolucizumabem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55F563F" w14:textId="3FE353E5" w:rsidR="00E254B7" w:rsidRPr="009B7FF4" w:rsidRDefault="00E254B7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okres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357C7339" w14:textId="4C29990A" w:rsidR="00E254B7" w:rsidRPr="009B7FF4" w:rsidRDefault="00E254B7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przedarciowe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025D1E5D" w14:textId="2D3905C3" w:rsidR="00E254B7" w:rsidRPr="009B7FF4" w:rsidRDefault="00E254B7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ogólnoustrojowej</w:t>
            </w:r>
            <w:r w:rsidR="00AF288D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uniemożliwiającej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4962824B" w14:textId="7D5ED8D8" w:rsidR="00E254B7" w:rsidRPr="009B7FF4" w:rsidRDefault="00E254B7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wystąpienie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postępowania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operacyjnego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(witrektomii,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jaskry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zaćmy):</w:t>
            </w:r>
          </w:p>
          <w:p w14:paraId="632D4D0A" w14:textId="73C54DC0" w:rsidR="00E254B7" w:rsidRPr="009B7FF4" w:rsidRDefault="00E254B7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dominująca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błona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przedsiatkówkowa</w:t>
            </w:r>
            <w:proofErr w:type="spellEnd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BF168A6" w14:textId="4038AF56" w:rsidR="00E254B7" w:rsidRPr="009B7FF4" w:rsidRDefault="00E254B7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włóknisto-naczyniowych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trakcji,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obkurczenie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mogłoby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wpłynąć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odwarstwienia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</w:p>
          <w:p w14:paraId="57489759" w14:textId="3DE834D5" w:rsidR="00E254B7" w:rsidRPr="009B7FF4" w:rsidRDefault="00E254B7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odwarstwienie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siatkówki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przebiegu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retinopatii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cukrzycowej,</w:t>
            </w:r>
          </w:p>
          <w:p w14:paraId="16E31284" w14:textId="23B818E2" w:rsidR="00E254B7" w:rsidRPr="009B7FF4" w:rsidRDefault="00E254B7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krwotok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szklistego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operacji,</w:t>
            </w:r>
          </w:p>
          <w:p w14:paraId="204A1BFC" w14:textId="41C26558" w:rsidR="00E254B7" w:rsidRPr="009B7FF4" w:rsidRDefault="00E254B7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neowaskularyzacja</w:t>
            </w:r>
            <w:proofErr w:type="spellEnd"/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tęczówki,</w:t>
            </w:r>
          </w:p>
          <w:p w14:paraId="562057B4" w14:textId="50AB1A12" w:rsidR="00E254B7" w:rsidRPr="009B7FF4" w:rsidRDefault="00E254B7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jaskra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neowaskularna</w:t>
            </w:r>
            <w:proofErr w:type="spellEnd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D18755" w14:textId="6BC3FD2A" w:rsidR="00E254B7" w:rsidRPr="009B7FF4" w:rsidRDefault="00E254B7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zaćma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mająca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wpływ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4E4193C8" w14:textId="1699F15F" w:rsidR="00E254B7" w:rsidRPr="009B7FF4" w:rsidRDefault="00E254B7" w:rsidP="00D859F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ustąpienia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BE1EF8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</w:t>
            </w:r>
            <w:r w:rsidR="00B83840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(nie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później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przerwania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wcześniejszego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włączyć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powrotem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ponownym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spełnieniu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programu).</w:t>
            </w:r>
          </w:p>
          <w:p w14:paraId="44CF3992" w14:textId="084C1AF5" w:rsidR="00E254B7" w:rsidRPr="009B7FF4" w:rsidRDefault="00E254B7" w:rsidP="00D859F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został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przerwania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wcześniejszego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zostaje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wyłączony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82847"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020F0C14" w14:textId="77777777" w:rsidR="00791B6E" w:rsidRPr="009B7FF4" w:rsidRDefault="00791B6E" w:rsidP="00D859F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430935" w14:textId="60B0CFD0" w:rsidR="00B83840" w:rsidRPr="009B7FF4" w:rsidRDefault="00B83840" w:rsidP="00D859FF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50C4F1AC" w14:textId="73CE5D66" w:rsidR="00B83840" w:rsidRPr="009B7FF4" w:rsidRDefault="00B83840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53ABF81C" w14:textId="44AC093C" w:rsidR="00B83840" w:rsidRPr="009B7FF4" w:rsidRDefault="00B83840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lekiem,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3DB4A736" w14:textId="1F17242E" w:rsidR="004F31D3" w:rsidRPr="009B7FF4" w:rsidRDefault="004F31D3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wystąpienie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nieakceptowalnej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życiu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toksyczności,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postępowania;</w:t>
            </w:r>
          </w:p>
          <w:p w14:paraId="67D2E74C" w14:textId="79434861" w:rsidR="0000026F" w:rsidRPr="009B7FF4" w:rsidRDefault="0000026F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75A19C0" w14:textId="79B10063" w:rsidR="00B83840" w:rsidRPr="009B7FF4" w:rsidRDefault="00773747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</w:t>
            </w:r>
            <w:r w:rsidR="00B83840" w:rsidRPr="009B7FF4">
              <w:rPr>
                <w:rFonts w:ascii="Times New Roman" w:hAnsi="Times New Roman"/>
                <w:sz w:val="20"/>
                <w:szCs w:val="20"/>
              </w:rPr>
              <w:t>rogresja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9B7FF4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9B7FF4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9B7FF4">
              <w:rPr>
                <w:rFonts w:ascii="Times New Roman" w:hAnsi="Times New Roman"/>
                <w:sz w:val="20"/>
                <w:szCs w:val="20"/>
              </w:rPr>
              <w:t>jako:</w:t>
            </w:r>
          </w:p>
          <w:p w14:paraId="33A00EEB" w14:textId="13887917" w:rsidR="00791B6E" w:rsidRPr="009B7FF4" w:rsidRDefault="00B83840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skorygowanej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ostrości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&lt;0,2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określonego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tablicy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Snellena</w:t>
            </w:r>
            <w:proofErr w:type="spellEnd"/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odpowiednio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ekwiwalent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ETDRS)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utrzymujące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</w:p>
          <w:p w14:paraId="269A8A7B" w14:textId="0AECA5C4" w:rsidR="00B83840" w:rsidRPr="009B7FF4" w:rsidRDefault="00B83840" w:rsidP="00D859FF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AC8FE28" w14:textId="6DD367E8" w:rsidR="00791B6E" w:rsidRPr="009B7FF4" w:rsidRDefault="00B83840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skorygowanej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ostrości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tablicach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Snellena</w:t>
            </w:r>
            <w:proofErr w:type="spellEnd"/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odpowiednio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ekwiwalent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ETDRS)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utrzymujące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ostrością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korekcji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uzyskanej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</w:p>
          <w:p w14:paraId="11BF5F36" w14:textId="73FCF828" w:rsidR="00B83840" w:rsidRPr="009B7FF4" w:rsidRDefault="00B83840" w:rsidP="00D859FF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75134A8" w14:textId="18854C5E" w:rsidR="00791B6E" w:rsidRPr="009B7FF4" w:rsidRDefault="00B83840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rozległy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zanik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fotoreceptorów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zanik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warstw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zewnętrznych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siatkówki)</w:t>
            </w:r>
          </w:p>
          <w:p w14:paraId="75B45BE0" w14:textId="5B8F6637" w:rsidR="00B83840" w:rsidRPr="009B7FF4" w:rsidRDefault="00B83840" w:rsidP="00D859FF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16B10ED" w14:textId="6EF0B608" w:rsidR="00791B6E" w:rsidRPr="009B7FF4" w:rsidRDefault="00B83840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rozwój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przebiegu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DRIL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obszarze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poddołkowym</w:t>
            </w:r>
            <w:proofErr w:type="spellEnd"/>
          </w:p>
          <w:p w14:paraId="2335A899" w14:textId="399B2F1C" w:rsidR="00B83840" w:rsidRPr="009B7FF4" w:rsidRDefault="00B83840" w:rsidP="00D859FF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C52F46" w14:textId="08EB0C68" w:rsidR="004C5660" w:rsidRPr="009B7FF4" w:rsidRDefault="00B83840" w:rsidP="00D859FF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makulopatii</w:t>
            </w:r>
            <w:proofErr w:type="spellEnd"/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niedokrwiennej</w:t>
            </w:r>
            <w:r w:rsidR="004F31D3" w:rsidRPr="009B7FF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B37510" w14:textId="623C5EA0" w:rsidR="00AB6ED4" w:rsidRPr="009B7FF4" w:rsidRDefault="00AB6ED4" w:rsidP="00D859FF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lekarzem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prowadzącym:</w:t>
            </w:r>
          </w:p>
          <w:p w14:paraId="659E981D" w14:textId="0A9BB7B7" w:rsidR="00AB6ED4" w:rsidRPr="009B7FF4" w:rsidRDefault="00AB6ED4" w:rsidP="00D859FF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niestosowanie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(uchylanie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wykonywania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badań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laboratoryjnych)</w:t>
            </w:r>
            <w:r w:rsidR="00BE1EF8" w:rsidRPr="009B7FF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03E7E4F" w14:textId="256FFA16" w:rsidR="00AB6ED4" w:rsidRPr="009B7FF4" w:rsidRDefault="00AB6ED4" w:rsidP="00D859FF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nieregularne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(pominięcie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kolejnych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dawek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leku)</w:t>
            </w:r>
            <w:r w:rsidR="00BE1EF8" w:rsidRPr="009B7FF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F5C59C9" w14:textId="21ACF601" w:rsidR="00AB6ED4" w:rsidRPr="009B7FF4" w:rsidRDefault="00AB6ED4" w:rsidP="00D859FF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monitorowaniu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(niezgłaszanie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powodów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nieuzasadnionych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punkty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kontrolne).</w:t>
            </w:r>
          </w:p>
          <w:p w14:paraId="1183FE8A" w14:textId="06C4D53C" w:rsidR="00791B6E" w:rsidRPr="009B7FF4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8E02" w14:textId="0827AEDA" w:rsidR="00773747" w:rsidRPr="009B7FF4" w:rsidRDefault="00773747" w:rsidP="00D859FF">
            <w:pPr>
              <w:numPr>
                <w:ilvl w:val="0"/>
                <w:numId w:val="14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B7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982847" w:rsidRPr="009B7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B7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29DCD770" w14:textId="2FEE12D6" w:rsidR="00572A8E" w:rsidRPr="009B7FF4" w:rsidRDefault="000F5E36" w:rsidP="00D859FF">
            <w:pPr>
              <w:pStyle w:val="Akapitzlist"/>
              <w:numPr>
                <w:ilvl w:val="1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Zalecane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dawki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jedno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podanie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doszklistkowe</w:t>
            </w:r>
            <w:proofErr w:type="spellEnd"/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to</w:t>
            </w:r>
            <w:r w:rsidR="00D651CE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44829672" w14:textId="58EFD707" w:rsidR="001F61E3" w:rsidRPr="009B7FF4" w:rsidRDefault="001F61E3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mg,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ml)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0369AFC" w14:textId="0DD29118" w:rsidR="00572A8E" w:rsidRPr="009B7FF4" w:rsidRDefault="00572A8E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1,25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ml)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BDE381E" w14:textId="07C90D39" w:rsidR="001F61E3" w:rsidRPr="009B7FF4" w:rsidRDefault="001F61E3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ml)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3F93A6" w14:textId="5DFFF908" w:rsidR="00D651CE" w:rsidRPr="009B7FF4" w:rsidRDefault="00D651CE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700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µg,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jednemu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implantowi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doszklistkowemu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696EDB" w14:textId="0CB4682B" w:rsidR="001F61E3" w:rsidRPr="009B7FF4" w:rsidRDefault="001F61E3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ml)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0D65535" w14:textId="0FF86F5C" w:rsidR="00572A8E" w:rsidRPr="009B7FF4" w:rsidRDefault="00572A8E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0,5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9B7FF4">
              <w:rPr>
                <w:rFonts w:ascii="Times New Roman" w:hAnsi="Times New Roman"/>
                <w:sz w:val="20"/>
                <w:szCs w:val="20"/>
              </w:rPr>
              <w:t>ml)</w:t>
            </w:r>
            <w:r w:rsidR="001F61E3"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86880B" w14:textId="77777777" w:rsidR="00791B6E" w:rsidRPr="009B7FF4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E6396" w14:textId="62D71246" w:rsidR="00C127FC" w:rsidRPr="009B7FF4" w:rsidRDefault="00C127FC" w:rsidP="00D859FF">
            <w:pPr>
              <w:pStyle w:val="Akapitzlist"/>
              <w:numPr>
                <w:ilvl w:val="1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Rozpoczęcie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040C2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faza nasycająca</w:t>
            </w:r>
          </w:p>
          <w:p w14:paraId="545252EF" w14:textId="37C0788F" w:rsidR="00215BC6" w:rsidRPr="009B7FF4" w:rsidRDefault="00215BC6" w:rsidP="00215BC6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 xml:space="preserve">Leczenie </w:t>
            </w:r>
            <w:r w:rsidR="00985790" w:rsidRPr="009B7FF4">
              <w:rPr>
                <w:rFonts w:ascii="Times New Roman" w:hAnsi="Times New Roman"/>
                <w:sz w:val="20"/>
                <w:szCs w:val="20"/>
              </w:rPr>
              <w:t xml:space="preserve">pacjentów pierwszorazowych lub leczonych wcześniej nieskutecznie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 xml:space="preserve">rozpoczyna się </w:t>
            </w:r>
            <w:r w:rsidR="00985790" w:rsidRPr="009B7FF4">
              <w:rPr>
                <w:rFonts w:ascii="Times New Roman" w:hAnsi="Times New Roman"/>
                <w:sz w:val="20"/>
                <w:szCs w:val="20"/>
              </w:rPr>
              <w:t xml:space="preserve">od 5 dawek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C040C2" w:rsidRPr="009B7FF4">
              <w:rPr>
                <w:rFonts w:ascii="Times New Roman" w:hAnsi="Times New Roman"/>
                <w:sz w:val="20"/>
                <w:szCs w:val="20"/>
              </w:rPr>
              <w:t>, podawanych w odstępach 28 – 35 dni.</w:t>
            </w:r>
          </w:p>
          <w:p w14:paraId="303605E9" w14:textId="4CBB0E04" w:rsidR="00C040C2" w:rsidRPr="009B7FF4" w:rsidRDefault="00C040C2" w:rsidP="00C040C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U pacjentów, u których w ostatnich 6 miesiącach wystąpił incydent sercowo-naczyniowy i istnieje ryzyko zaostrzenia przebiegu stanu ogólnego w przypadku </w:t>
            </w:r>
            <w:r w:rsidR="002E371C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rozpoczęcia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leczenia lekami z grupy anty-VEGF, leczenie należy prowadzić z wykorzystaniem </w:t>
            </w:r>
            <w:proofErr w:type="spellStart"/>
            <w:r w:rsidRPr="009B7F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deksametazonu</w:t>
            </w:r>
            <w:proofErr w:type="spellEnd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w postaci implantu.</w:t>
            </w:r>
          </w:p>
          <w:p w14:paraId="2A0D1F8B" w14:textId="77777777" w:rsidR="00C040C2" w:rsidRPr="009B7FF4" w:rsidRDefault="00C040C2" w:rsidP="0083315A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0DB1E0A" w14:textId="77777777" w:rsidR="00C040C2" w:rsidRPr="009B7FF4" w:rsidRDefault="00C040C2" w:rsidP="00C040C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Jedna iniekcja w odstępach 28 – 35 dni przez:</w:t>
            </w:r>
          </w:p>
          <w:p w14:paraId="111C3150" w14:textId="77777777" w:rsidR="00C040C2" w:rsidRPr="009B7FF4" w:rsidRDefault="00C040C2" w:rsidP="00C040C2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 xml:space="preserve">5 kolejnych miesięcy –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9C8F13" w14:textId="77777777" w:rsidR="00C040C2" w:rsidRPr="009B7FF4" w:rsidRDefault="00C040C2" w:rsidP="00C040C2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 xml:space="preserve">4 kolejne miesiące –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6E298A8A" w14:textId="77777777" w:rsidR="00C040C2" w:rsidRPr="009B7FF4" w:rsidRDefault="00C040C2" w:rsidP="00C040C2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do czasu uzyskania maksymalnej ostrości wzroku lub braku cech aktywności choroby, tj. braku zmian w ostrości wzroku oraz innych objawów przedmiotowych choroby podczas kontynuowania leczenia –</w:t>
            </w:r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AB4CAA4" w14:textId="77777777" w:rsidR="00C040C2" w:rsidRPr="009B7FF4" w:rsidRDefault="00C040C2" w:rsidP="00C040C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Jedna iniekcja co 6 tygodni przez:</w:t>
            </w:r>
          </w:p>
          <w:p w14:paraId="14CEDA5C" w14:textId="77777777" w:rsidR="00C040C2" w:rsidRPr="009B7FF4" w:rsidRDefault="00C040C2" w:rsidP="00C040C2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 xml:space="preserve">1) 5 kolejnych dawek - </w:t>
            </w: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D53FE3F" w14:textId="77777777" w:rsidR="00C040C2" w:rsidRPr="009B7FF4" w:rsidRDefault="00C040C2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EC403" w14:textId="6DDDDD31" w:rsidR="002A29B3" w:rsidRPr="009B7FF4" w:rsidRDefault="002A29B3" w:rsidP="00D859FF">
            <w:pPr>
              <w:pStyle w:val="Akapitzlist"/>
              <w:numPr>
                <w:ilvl w:val="1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podtrzymująca</w:t>
            </w:r>
          </w:p>
          <w:p w14:paraId="7292AD49" w14:textId="4463EEBA" w:rsidR="002A29B3" w:rsidRPr="009B7FF4" w:rsidRDefault="002A29B3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ustalany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1B6E" w:rsidRPr="009B7FF4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zasadą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treat</w:t>
            </w:r>
            <w:proofErr w:type="spellEnd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-and-</w:t>
            </w:r>
            <w:proofErr w:type="spellStart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extend</w:t>
            </w:r>
            <w:proofErr w:type="spellEnd"/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Odstępy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między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podaniami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skracane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wydłużane,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podtrzymać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anatomicznych,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poniższymi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zapisami:</w:t>
            </w:r>
          </w:p>
          <w:p w14:paraId="1AC152AB" w14:textId="0587ECCE" w:rsidR="007C7066" w:rsidRPr="009B7FF4" w:rsidRDefault="001F61E3" w:rsidP="009B7FF4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CE7" w:rsidRPr="009B7FF4">
              <w:rPr>
                <w:rFonts w:ascii="Times New Roman" w:hAnsi="Times New Roman"/>
                <w:sz w:val="20"/>
                <w:szCs w:val="20"/>
              </w:rPr>
              <w:t xml:space="preserve">iniekcje wykonuje się w odstępach co 8 tygodni, ale nie później niż 7 dni po upływie tego terminu, jednorazowo odstęp można wydłużyć lub skrócić o 2 lub 4 tygodnie; minimalny odstęp między </w:t>
            </w:r>
            <w:r w:rsidR="002B2CE7"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iniekcjami wynosi 4 tygodnie, a maksymalny 16 tygodni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  <w:r w:rsidR="007C7066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0EAFA7" w14:textId="3B430E1B" w:rsidR="002A29B3" w:rsidRPr="009B7FF4" w:rsidRDefault="002A29B3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bew</w:t>
            </w:r>
            <w:r w:rsidR="002B2CE7"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cyzumab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18B3" w:rsidRPr="009B7FF4">
              <w:rPr>
                <w:rFonts w:ascii="Times New Roman" w:hAnsi="Times New Roman"/>
                <w:sz w:val="20"/>
                <w:szCs w:val="20"/>
              </w:rPr>
              <w:t>8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18B3" w:rsidRPr="009B7FF4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9B7FF4">
              <w:rPr>
                <w:rFonts w:ascii="Times New Roman" w:hAnsi="Times New Roman"/>
                <w:sz w:val="20"/>
                <w:szCs w:val="20"/>
              </w:rPr>
              <w:t>terminu;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9B7FF4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9B7FF4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EFC" w:rsidRPr="009B7FF4">
              <w:rPr>
                <w:rFonts w:ascii="Times New Roman" w:hAnsi="Times New Roman"/>
                <w:sz w:val="20"/>
                <w:szCs w:val="20"/>
              </w:rPr>
              <w:t>ten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9B7FF4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9B7FF4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9B7FF4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9B7FF4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9B7FF4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EFC" w:rsidRPr="009B7FF4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00C71CC" w14:textId="397FFBCD" w:rsidR="001F61E3" w:rsidRPr="009B7FF4" w:rsidRDefault="001F61E3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8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tygodni,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terminu;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35F">
              <w:rPr>
                <w:rFonts w:ascii="Times New Roman" w:hAnsi="Times New Roman"/>
                <w:sz w:val="20"/>
                <w:szCs w:val="20"/>
              </w:rPr>
              <w:t xml:space="preserve">po 12 miesiącach leczenia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dawkami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35F" w:rsidRPr="009B7FF4">
              <w:rPr>
                <w:rFonts w:ascii="Times New Roman" w:hAnsi="Times New Roman"/>
                <w:sz w:val="20"/>
                <w:szCs w:val="20"/>
              </w:rPr>
              <w:t>1</w:t>
            </w:r>
            <w:r w:rsidR="0003435F">
              <w:rPr>
                <w:rFonts w:ascii="Times New Roman" w:hAnsi="Times New Roman"/>
                <w:sz w:val="20"/>
                <w:szCs w:val="20"/>
              </w:rPr>
              <w:t>6</w:t>
            </w:r>
            <w:r w:rsidR="0003435F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tygodni;</w:t>
            </w:r>
          </w:p>
          <w:p w14:paraId="5C0253F6" w14:textId="6367941A" w:rsidR="0083526F" w:rsidRPr="009B7FF4" w:rsidRDefault="0083526F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implantu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ChPL;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nawrotu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schemat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dawkowania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ustala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prowadzący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stosując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miesiące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(tj.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124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dni)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wydłużenia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między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wstrzyknięciami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9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(tj.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279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dni);</w:t>
            </w:r>
          </w:p>
          <w:p w14:paraId="6D5585F8" w14:textId="52839073" w:rsidR="001F61E3" w:rsidRPr="009B7FF4" w:rsidRDefault="001F61E3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AC3" w:rsidRPr="009B7FF4">
              <w:rPr>
                <w:rFonts w:ascii="Times New Roman" w:hAnsi="Times New Roman"/>
                <w:sz w:val="20"/>
                <w:szCs w:val="20"/>
              </w:rPr>
              <w:t>w odstępach maksymalnie co 16 tygodni, odstępy między iniekcjami można jednorazowo zwiększać o maksymalnie 4 tygodnie;</w:t>
            </w:r>
          </w:p>
          <w:p w14:paraId="4E753CF5" w14:textId="66CE04F9" w:rsidR="002A29B3" w:rsidRPr="009B7FF4" w:rsidRDefault="002A29B3" w:rsidP="00D859FF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7FF4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tygodnie,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83526F"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AF67610" w14:textId="77777777" w:rsidR="00066B4E" w:rsidRPr="009B7FF4" w:rsidRDefault="00066B4E" w:rsidP="00D859FF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  <w:p w14:paraId="48138AB8" w14:textId="554D6F4C" w:rsidR="00066B4E" w:rsidRPr="009B7FF4" w:rsidRDefault="00066B4E" w:rsidP="007A43BD">
            <w:pPr>
              <w:pStyle w:val="Akapitzlist"/>
              <w:numPr>
                <w:ilvl w:val="1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82847"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rozpoczętej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poza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programem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DE321FE" w14:textId="5ED87551" w:rsidR="002A29B3" w:rsidRPr="009B7FF4" w:rsidRDefault="002A29B3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zakwalifikowanych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źródła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dostosować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etapu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jakim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znajduje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pacjent.</w:t>
            </w:r>
          </w:p>
          <w:p w14:paraId="09882C71" w14:textId="77777777" w:rsidR="00791B6E" w:rsidRPr="009B7FF4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FF0A87" w14:textId="2121F9C4" w:rsidR="00D40BAA" w:rsidRPr="007A43BD" w:rsidRDefault="00D40BAA" w:rsidP="007A43BD">
            <w:pPr>
              <w:pStyle w:val="Akapitzlist"/>
              <w:numPr>
                <w:ilvl w:val="1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>Wstrzymanie</w:t>
            </w:r>
            <w:r w:rsidR="00982847"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>podawania</w:t>
            </w:r>
            <w:r w:rsidR="00982847"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</w:p>
          <w:p w14:paraId="4A43BBFA" w14:textId="286C894D" w:rsidR="00D40BAA" w:rsidRPr="009B7FF4" w:rsidRDefault="00D40BAA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odroczyć,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wystąpi:</w:t>
            </w:r>
          </w:p>
          <w:p w14:paraId="238F44FB" w14:textId="211184E3" w:rsidR="00D40BAA" w:rsidRPr="009B7FF4" w:rsidRDefault="00D40BAA" w:rsidP="00D859FF">
            <w:pPr>
              <w:pStyle w:val="Akapitzlist"/>
              <w:numPr>
                <w:ilvl w:val="3"/>
                <w:numId w:val="1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śródgałkowe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30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mmHg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(utrzymujące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leczenia);</w:t>
            </w:r>
          </w:p>
          <w:p w14:paraId="4A561EE2" w14:textId="4EE0A7AF" w:rsidR="00D40BAA" w:rsidRPr="009B7FF4" w:rsidRDefault="00D40BAA" w:rsidP="00D859FF">
            <w:pPr>
              <w:pStyle w:val="Akapitzlist"/>
              <w:numPr>
                <w:ilvl w:val="3"/>
                <w:numId w:val="1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rozerwanie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402AC04C" w14:textId="0490DAF9" w:rsidR="00D40BAA" w:rsidRPr="009B7FF4" w:rsidRDefault="00D40BAA" w:rsidP="00D859FF">
            <w:pPr>
              <w:pStyle w:val="Akapitzlist"/>
              <w:numPr>
                <w:ilvl w:val="3"/>
                <w:numId w:val="1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planowanie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wewnątrzgałkowej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długości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okresu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operacją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decyduje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prowadzący);</w:t>
            </w:r>
          </w:p>
          <w:p w14:paraId="432001DF" w14:textId="05744F0F" w:rsidR="00D40BAA" w:rsidRPr="009B7FF4" w:rsidRDefault="00D40BAA" w:rsidP="00D859FF">
            <w:pPr>
              <w:pStyle w:val="Akapitzlist"/>
              <w:numPr>
                <w:ilvl w:val="3"/>
                <w:numId w:val="1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3C6868"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DF48ED2" w14:textId="06A06022" w:rsidR="00D40BAA" w:rsidRPr="009B7FF4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odroczeniu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decyduje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9B7FF4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4CE889C4" w14:textId="77777777" w:rsidR="00791B6E" w:rsidRPr="009B7FF4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BB193" w14:textId="142F5A5E" w:rsidR="003C6868" w:rsidRPr="007A43BD" w:rsidRDefault="003C6868" w:rsidP="007A43BD">
            <w:pPr>
              <w:pStyle w:val="Akapitzlist"/>
              <w:numPr>
                <w:ilvl w:val="1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982847"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7FA788F7" w14:textId="5EA8C95B" w:rsidR="00C127FC" w:rsidRPr="009B7FF4" w:rsidRDefault="00915B8E" w:rsidP="0083315A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Zmiana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odbywa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zgodą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6868" w:rsidRPr="009B7FF4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6868" w:rsidRPr="009B7FF4">
              <w:rPr>
                <w:rFonts w:ascii="Times New Roman" w:hAnsi="Times New Roman"/>
                <w:sz w:val="20"/>
                <w:szCs w:val="20"/>
              </w:rPr>
              <w:t>Koordynacyjnego.</w:t>
            </w:r>
          </w:p>
          <w:p w14:paraId="56E57DCF" w14:textId="116AEF4C" w:rsidR="00215BC6" w:rsidRPr="009B7FF4" w:rsidRDefault="00215BC6" w:rsidP="0083315A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 xml:space="preserve">Zmiana leku z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 xml:space="preserve"> na inny możliwa jest, gdy </w:t>
            </w:r>
            <w:proofErr w:type="spellStart"/>
            <w:r w:rsidR="002E371C" w:rsidRPr="009B7FF4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 xml:space="preserve"> wynosi ≤ 9%.</w:t>
            </w:r>
          </w:p>
          <w:p w14:paraId="09DC0C05" w14:textId="77777777" w:rsidR="00F6753E" w:rsidRPr="009B7FF4" w:rsidRDefault="00F6753E" w:rsidP="0083315A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Schemat dawkowania leku po zmianie ustala lekarz prowadzący.</w:t>
            </w:r>
          </w:p>
          <w:p w14:paraId="38206654" w14:textId="28DDC0B9" w:rsidR="000F7B07" w:rsidRPr="009B7FF4" w:rsidRDefault="000F7B07" w:rsidP="0083315A">
            <w:pPr>
              <w:pStyle w:val="Akapitzlist"/>
              <w:numPr>
                <w:ilvl w:val="3"/>
                <w:numId w:val="2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wystąpił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incydent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sercowo-naczyniowy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istnieje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ryzyko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zaostrzenia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stanu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ogólnego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kontynuacji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lekami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grupy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anty-VEGF,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prowadzić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deksametazonu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implantu.</w:t>
            </w:r>
          </w:p>
          <w:p w14:paraId="0FC8A703" w14:textId="77777777" w:rsidR="004C5660" w:rsidRPr="009B7FF4" w:rsidRDefault="004C5660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095A" w14:textId="535CB1E5" w:rsidR="00C6772D" w:rsidRPr="009B7FF4" w:rsidRDefault="00C6772D" w:rsidP="00D859FF">
            <w:pPr>
              <w:pStyle w:val="Akapitzlist"/>
              <w:numPr>
                <w:ilvl w:val="0"/>
                <w:numId w:val="15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887C6EB" w14:textId="300B363E" w:rsidR="00C6772D" w:rsidRPr="009B7FF4" w:rsidRDefault="00C6772D" w:rsidP="00D859FF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Snellena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1BE6FDB7" w14:textId="75EABC9C" w:rsidR="00C6772D" w:rsidRPr="009B7FF4" w:rsidRDefault="00C6772D" w:rsidP="00D859FF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07A00EE1" w14:textId="289C34CD" w:rsidR="00C6772D" w:rsidRPr="009B7FF4" w:rsidRDefault="00C6772D" w:rsidP="00D859FF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oka;</w:t>
            </w:r>
          </w:p>
          <w:p w14:paraId="22678676" w14:textId="60A89267" w:rsidR="00C6772D" w:rsidRPr="009B7FF4" w:rsidRDefault="00C6772D" w:rsidP="00D859FF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)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uczulenia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barwnik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stosowany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razie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jednoznacznych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niego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odstąpić.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Fakt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odstąpienia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opisać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przekazać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Koordynacyjnego;</w:t>
            </w:r>
          </w:p>
          <w:p w14:paraId="6B73D408" w14:textId="66CCBDE0" w:rsidR="00C6772D" w:rsidRPr="009B7FF4" w:rsidRDefault="00C6772D" w:rsidP="00D859FF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diabetologiczna</w:t>
            </w:r>
            <w:r w:rsidR="00B20EAA" w:rsidRPr="009B7FF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wewnętrznych</w:t>
            </w:r>
            <w:r w:rsidR="00B20EAA" w:rsidRPr="009B7FF4">
              <w:rPr>
                <w:rFonts w:ascii="Times New Roman" w:hAnsi="Times New Roman"/>
                <w:sz w:val="20"/>
                <w:szCs w:val="20"/>
              </w:rPr>
              <w:t xml:space="preserve"> lub lekarza POZ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wynikiem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E371C" w:rsidRPr="009B7FF4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wyrównania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tętniczego,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funkcji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nerek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powikłań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cukrzycy.</w:t>
            </w:r>
            <w:r w:rsidR="005632B5" w:rsidRPr="009B7FF4">
              <w:rPr>
                <w:rFonts w:ascii="Times New Roman" w:hAnsi="Times New Roman"/>
                <w:sz w:val="20"/>
                <w:szCs w:val="20"/>
              </w:rPr>
              <w:t xml:space="preserve"> W przypadku posiadania przez pacjenta aktualnego badania </w:t>
            </w:r>
            <w:proofErr w:type="spellStart"/>
            <w:r w:rsidR="002E371C" w:rsidRPr="009B7FF4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5632B5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753E" w:rsidRPr="009B7FF4">
              <w:rPr>
                <w:rFonts w:ascii="Times New Roman" w:hAnsi="Times New Roman"/>
                <w:sz w:val="20"/>
                <w:szCs w:val="20"/>
              </w:rPr>
              <w:t xml:space="preserve">(z ostatnich </w:t>
            </w:r>
            <w:r w:rsidR="00694355" w:rsidRPr="009B7FF4">
              <w:rPr>
                <w:rFonts w:ascii="Times New Roman" w:hAnsi="Times New Roman"/>
                <w:sz w:val="20"/>
                <w:szCs w:val="20"/>
              </w:rPr>
              <w:t>6</w:t>
            </w:r>
            <w:r w:rsidR="00F6753E" w:rsidRPr="009B7FF4">
              <w:rPr>
                <w:rFonts w:ascii="Times New Roman" w:hAnsi="Times New Roman"/>
                <w:sz w:val="20"/>
                <w:szCs w:val="20"/>
              </w:rPr>
              <w:t xml:space="preserve"> miesięcy</w:t>
            </w:r>
            <w:r w:rsidR="00532308" w:rsidRPr="009B7FF4">
              <w:rPr>
                <w:rFonts w:ascii="Times New Roman" w:hAnsi="Times New Roman"/>
                <w:sz w:val="20"/>
                <w:szCs w:val="20"/>
              </w:rPr>
              <w:t>,</w:t>
            </w:r>
            <w:r w:rsidR="00F6753E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32B5" w:rsidRPr="009B7FF4">
              <w:rPr>
                <w:rFonts w:ascii="Times New Roman" w:hAnsi="Times New Roman"/>
                <w:sz w:val="20"/>
                <w:szCs w:val="20"/>
              </w:rPr>
              <w:t xml:space="preserve">uzyskanego na podstawie badania laboratoryjnego lub w postaci odczytu z elektronicznych systemów monitorowania </w:t>
            </w:r>
            <w:r w:rsidR="005632B5"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glikemii</w:t>
            </w:r>
            <w:r w:rsidR="00E35CD2" w:rsidRPr="009B7FF4">
              <w:rPr>
                <w:rFonts w:ascii="Times New Roman" w:hAnsi="Times New Roman"/>
                <w:sz w:val="20"/>
                <w:szCs w:val="20"/>
              </w:rPr>
              <w:t>)</w:t>
            </w:r>
            <w:r w:rsidR="005632B5" w:rsidRPr="009B7FF4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r w:rsidR="00B17F58" w:rsidRPr="009B7FF4">
              <w:rPr>
                <w:rFonts w:ascii="Times New Roman" w:hAnsi="Times New Roman"/>
                <w:sz w:val="20"/>
                <w:szCs w:val="20"/>
              </w:rPr>
              <w:t xml:space="preserve">konieczności </w:t>
            </w:r>
            <w:r w:rsidR="005632B5" w:rsidRPr="009B7FF4">
              <w:rPr>
                <w:rFonts w:ascii="Times New Roman" w:hAnsi="Times New Roman"/>
                <w:sz w:val="20"/>
                <w:szCs w:val="20"/>
              </w:rPr>
              <w:t>konsultacji</w:t>
            </w:r>
            <w:r w:rsidR="00B17F58" w:rsidRPr="009B7FF4">
              <w:rPr>
                <w:rFonts w:ascii="Times New Roman" w:hAnsi="Times New Roman"/>
                <w:sz w:val="20"/>
                <w:szCs w:val="20"/>
              </w:rPr>
              <w:t xml:space="preserve"> specjalistycznej</w:t>
            </w:r>
            <w:r w:rsidR="005632B5" w:rsidRPr="009B7FF4">
              <w:rPr>
                <w:rFonts w:ascii="Times New Roman" w:hAnsi="Times New Roman"/>
                <w:sz w:val="20"/>
                <w:szCs w:val="20"/>
              </w:rPr>
              <w:t xml:space="preserve"> decyduje lekarz prowadzący pacjenta.  </w:t>
            </w:r>
          </w:p>
          <w:p w14:paraId="01E3DF2B" w14:textId="707BC295" w:rsidR="003C6868" w:rsidRPr="009B7FF4" w:rsidRDefault="00C6772D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9B7FF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9B7F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9B7FF4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9B7F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9B7FF4">
              <w:rPr>
                <w:rFonts w:ascii="Times New Roman" w:hAnsi="Times New Roman" w:cs="Times New Roman"/>
                <w:sz w:val="20"/>
                <w:szCs w:val="20"/>
              </w:rPr>
              <w:t>(Kryteria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9B7FF4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9B7FF4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56363" w:rsidRPr="009B7F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82847" w:rsidRPr="009B7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kwalifikację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opierać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371C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badaniach z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wątpliwych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ekspert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poprosić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rozszerzenia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pełnego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zakresu.</w:t>
            </w:r>
          </w:p>
          <w:p w14:paraId="6B2D2B66" w14:textId="77777777" w:rsidR="00791B6E" w:rsidRPr="009B7FF4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2F7DA" w14:textId="4B0CC827" w:rsidR="00B5324B" w:rsidRPr="009B7FF4" w:rsidRDefault="00B5324B" w:rsidP="0080547F">
            <w:pPr>
              <w:pStyle w:val="Akapitzlist"/>
              <w:numPr>
                <w:ilvl w:val="0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6F0B0AFC" w14:textId="64867885" w:rsidR="00B5324B" w:rsidRPr="009B7FF4" w:rsidRDefault="00B5324B" w:rsidP="00D859FF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Snellena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15B14682" w14:textId="5A738843" w:rsidR="00B5324B" w:rsidRPr="009B7FF4" w:rsidRDefault="00B5324B" w:rsidP="00D859FF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tomografia</w:t>
            </w:r>
            <w:r w:rsidR="00961B3B" w:rsidRPr="009B7FF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1F72F119" w14:textId="4C5903D2" w:rsidR="00B5324B" w:rsidRPr="009B7FF4" w:rsidRDefault="00B5324B" w:rsidP="00D859FF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diabetologiczna</w:t>
            </w:r>
            <w:r w:rsidR="00B17F58" w:rsidRPr="009B7FF4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wewnętrznych</w:t>
            </w:r>
            <w:r w:rsidR="00B17F58" w:rsidRPr="009B7FF4">
              <w:rPr>
                <w:rFonts w:ascii="Times New Roman" w:hAnsi="Times New Roman"/>
                <w:sz w:val="20"/>
                <w:szCs w:val="20"/>
              </w:rPr>
              <w:t xml:space="preserve"> lub lekarza Podstawowej </w:t>
            </w:r>
            <w:r w:rsidR="00F6753E" w:rsidRPr="009B7FF4">
              <w:rPr>
                <w:rFonts w:ascii="Times New Roman" w:hAnsi="Times New Roman"/>
                <w:sz w:val="20"/>
                <w:szCs w:val="20"/>
              </w:rPr>
              <w:t>O</w:t>
            </w:r>
            <w:r w:rsidR="00B17F58" w:rsidRPr="009B7FF4">
              <w:rPr>
                <w:rFonts w:ascii="Times New Roman" w:hAnsi="Times New Roman"/>
                <w:sz w:val="20"/>
                <w:szCs w:val="20"/>
              </w:rPr>
              <w:t>pieki Zdrowotnej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32B5" w:rsidRPr="009B7FF4">
              <w:rPr>
                <w:rFonts w:ascii="Times New Roman" w:hAnsi="Times New Roman"/>
                <w:sz w:val="20"/>
                <w:szCs w:val="20"/>
              </w:rPr>
              <w:t xml:space="preserve">12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programu;</w:t>
            </w:r>
          </w:p>
          <w:p w14:paraId="4CEA9E80" w14:textId="77777777" w:rsidR="00B5324B" w:rsidRPr="009B7FF4" w:rsidRDefault="00B5324B" w:rsidP="00D859FF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opcjonalnie:</w:t>
            </w:r>
          </w:p>
          <w:p w14:paraId="5FCF73F5" w14:textId="0FCBDB1D" w:rsidR="00B5324B" w:rsidRPr="009B7FF4" w:rsidRDefault="00B5324B" w:rsidP="00D859FF">
            <w:pPr>
              <w:pStyle w:val="Akapitzlist"/>
              <w:numPr>
                <w:ilvl w:val="4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oka</w:t>
            </w:r>
            <w:r w:rsidR="00791B6E" w:rsidRPr="009B7FF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4A06794" w14:textId="5CCF19FD" w:rsidR="00B5324B" w:rsidRPr="009B7FF4" w:rsidRDefault="00B5324B" w:rsidP="00D859FF">
            <w:pPr>
              <w:pStyle w:val="Akapitzlist"/>
              <w:numPr>
                <w:ilvl w:val="4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5D046E15" w14:textId="77777777" w:rsidR="00AF288D" w:rsidRPr="009B7FF4" w:rsidRDefault="00AF288D" w:rsidP="00AF288D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C33F0E" w14:textId="77777777" w:rsidR="0080547F" w:rsidRPr="009B7FF4" w:rsidRDefault="0080547F" w:rsidP="0080547F">
            <w:pPr>
              <w:pStyle w:val="Akapitzlist"/>
              <w:numPr>
                <w:ilvl w:val="0"/>
                <w:numId w:val="2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</w:pPr>
          </w:p>
          <w:p w14:paraId="6F0B97BB" w14:textId="77777777" w:rsidR="0080547F" w:rsidRPr="009B7FF4" w:rsidRDefault="0080547F" w:rsidP="0080547F">
            <w:pPr>
              <w:pStyle w:val="Akapitzlist"/>
              <w:numPr>
                <w:ilvl w:val="0"/>
                <w:numId w:val="2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vanish/>
                <w:sz w:val="20"/>
                <w:szCs w:val="20"/>
              </w:rPr>
            </w:pPr>
          </w:p>
          <w:p w14:paraId="03249193" w14:textId="2656E7E9" w:rsidR="0080547F" w:rsidRPr="009B7FF4" w:rsidRDefault="0080547F" w:rsidP="0080547F">
            <w:pPr>
              <w:pStyle w:val="Akapitzlist"/>
              <w:numPr>
                <w:ilvl w:val="1"/>
                <w:numId w:val="2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bezpieczeństwa leczenia</w:t>
            </w:r>
          </w:p>
          <w:p w14:paraId="2CF16B67" w14:textId="77777777" w:rsidR="0080547F" w:rsidRPr="009B7FF4" w:rsidRDefault="0080547F" w:rsidP="0080547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Badania wymienione w pkt 1, 2 i 4 przeprowadza się przed każdym podaniem leku, w dniu jego podania lub w terminie do 7 dni przed jego podaniem, zgodnie z harmonogramem dawkowania.</w:t>
            </w:r>
          </w:p>
          <w:p w14:paraId="44B20E56" w14:textId="77777777" w:rsidR="0080547F" w:rsidRPr="009B7FF4" w:rsidRDefault="0080547F" w:rsidP="0080547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 ma wymogu monitorowania pomiędzy wstrzyknięciami. Na podstawie opinii lekarza harmonogram monitorowania może być częstszy niż harmonogram wstrzyknięć.</w:t>
            </w:r>
          </w:p>
          <w:p w14:paraId="7DDCC165" w14:textId="77777777" w:rsidR="0080547F" w:rsidRPr="009B7FF4" w:rsidRDefault="0080547F" w:rsidP="0080547F">
            <w:pPr>
              <w:spacing w:after="6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8F43CD3" w14:textId="77777777" w:rsidR="0080547F" w:rsidRPr="009B7FF4" w:rsidRDefault="0080547F" w:rsidP="0080547F">
            <w:pPr>
              <w:pStyle w:val="Akapitzlist"/>
              <w:numPr>
                <w:ilvl w:val="1"/>
                <w:numId w:val="2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skuteczności leczenia</w:t>
            </w:r>
          </w:p>
          <w:p w14:paraId="5FF05EB0" w14:textId="77777777" w:rsidR="0080547F" w:rsidRPr="009B7FF4" w:rsidRDefault="0080547F" w:rsidP="0080547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Ocena skuteczności leczenia przeprowadzana jest przez Zespół Koordynacyjny po zgłoszeniu pacjenta przez lekarza prowadzącego w elektronicznym systemie monitorowania programów lekowych. Brak zgłoszenia równoznaczny jest z wyłączeniem pacjenta z programu.</w:t>
            </w:r>
          </w:p>
          <w:p w14:paraId="64B55E05" w14:textId="3C6092E6" w:rsidR="00961B3B" w:rsidRPr="009B7FF4" w:rsidRDefault="00961B3B" w:rsidP="0080547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Ocena skuteczności leczenia odbywa się:</w:t>
            </w:r>
          </w:p>
          <w:p w14:paraId="1CE4C79A" w14:textId="77777777" w:rsidR="00961B3B" w:rsidRPr="009B7FF4" w:rsidRDefault="00961B3B" w:rsidP="0083315A">
            <w:pPr>
              <w:pStyle w:val="Akapitzlist"/>
              <w:numPr>
                <w:ilvl w:val="3"/>
                <w:numId w:val="2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 xml:space="preserve">w okresie od 1 do 2 miesięcy po ostatnim podaniu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 xml:space="preserve"> z serii 5 podawanych co miesiąc dawek początkowych;</w:t>
            </w:r>
          </w:p>
          <w:p w14:paraId="0FCA13FF" w14:textId="16B3A4D5" w:rsidR="00961B3B" w:rsidRPr="009B7FF4" w:rsidRDefault="00961B3B" w:rsidP="0083315A">
            <w:pPr>
              <w:pStyle w:val="Akapitzlist"/>
              <w:numPr>
                <w:ilvl w:val="3"/>
                <w:numId w:val="2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bookmarkStart w:id="0" w:name="_Hlk152221582"/>
            <w:r w:rsidRPr="009B7FF4">
              <w:rPr>
                <w:rFonts w:ascii="Times New Roman" w:hAnsi="Times New Roman"/>
                <w:sz w:val="20"/>
                <w:szCs w:val="20"/>
              </w:rPr>
              <w:t xml:space="preserve">co 11 </w:t>
            </w:r>
            <w:r w:rsidR="006800F8">
              <w:rPr>
                <w:rFonts w:ascii="Times New Roman" w:hAnsi="Times New Roman"/>
                <w:sz w:val="20"/>
                <w:szCs w:val="20"/>
              </w:rPr>
              <w:t xml:space="preserve">miesięcy dla </w:t>
            </w:r>
            <w:proofErr w:type="spellStart"/>
            <w:r w:rsidR="006800F8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6800F8">
              <w:rPr>
                <w:rFonts w:ascii="Times New Roman" w:hAnsi="Times New Roman"/>
                <w:sz w:val="20"/>
                <w:szCs w:val="20"/>
              </w:rPr>
              <w:t>,</w:t>
            </w:r>
            <w:r w:rsidR="006666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666BA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6666BA">
              <w:rPr>
                <w:rFonts w:ascii="Times New Roman" w:hAnsi="Times New Roman"/>
                <w:sz w:val="20"/>
                <w:szCs w:val="20"/>
              </w:rPr>
              <w:t>,</w:t>
            </w:r>
            <w:r w:rsidR="006800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800F8">
              <w:rPr>
                <w:rFonts w:ascii="Times New Roman" w:hAnsi="Times New Roman"/>
                <w:sz w:val="20"/>
                <w:szCs w:val="20"/>
              </w:rPr>
              <w:t>brolucizumabu</w:t>
            </w:r>
            <w:proofErr w:type="spellEnd"/>
            <w:r w:rsidR="006800F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800F8">
              <w:rPr>
                <w:rFonts w:ascii="Times New Roman" w:hAnsi="Times New Roman"/>
                <w:sz w:val="20"/>
                <w:szCs w:val="20"/>
              </w:rPr>
              <w:t>farycymabu</w:t>
            </w:r>
            <w:proofErr w:type="spellEnd"/>
            <w:r w:rsidR="006800F8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="006800F8">
              <w:rPr>
                <w:rFonts w:ascii="Times New Roman" w:hAnsi="Times New Roman"/>
                <w:sz w:val="20"/>
                <w:szCs w:val="20"/>
              </w:rPr>
              <w:t>ranibizumabu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bookmarkEnd w:id="0"/>
          <w:p w14:paraId="566DE830" w14:textId="291FEF17" w:rsidR="00961B3B" w:rsidRPr="009B7FF4" w:rsidRDefault="00961B3B" w:rsidP="0083315A">
            <w:pPr>
              <w:pStyle w:val="Akapitzlist"/>
              <w:numPr>
                <w:ilvl w:val="3"/>
                <w:numId w:val="2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 xml:space="preserve">co 3 kolejne dawki </w:t>
            </w:r>
            <w:proofErr w:type="spellStart"/>
            <w:r w:rsidRPr="009B7FF4">
              <w:rPr>
                <w:rFonts w:ascii="Times New Roman" w:hAnsi="Times New Roman"/>
                <w:sz w:val="20"/>
                <w:szCs w:val="20"/>
              </w:rPr>
              <w:t>deksametazonu</w:t>
            </w:r>
            <w:proofErr w:type="spellEnd"/>
            <w:r w:rsidRPr="009B7F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1716F60" w14:textId="77777777" w:rsidR="00961B3B" w:rsidRPr="009B7FF4" w:rsidRDefault="00961B3B" w:rsidP="0083315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 podstawie oceny skuteczności Zespół Koordynacyjny podejmuje decyzję o:</w:t>
            </w:r>
          </w:p>
          <w:p w14:paraId="6DCA149C" w14:textId="77777777" w:rsidR="00AF288D" w:rsidRPr="009B7FF4" w:rsidRDefault="00961B3B" w:rsidP="0083315A">
            <w:pPr>
              <w:pStyle w:val="Akapitzlist"/>
              <w:numPr>
                <w:ilvl w:val="3"/>
                <w:numId w:val="2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 xml:space="preserve">kontynuacji leczenia bez zmiany leku </w:t>
            </w:r>
          </w:p>
          <w:p w14:paraId="07CA8BF9" w14:textId="3A2528FF" w:rsidR="00961B3B" w:rsidRPr="009B7FF4" w:rsidRDefault="00AF288D" w:rsidP="00AF288D">
            <w:pPr>
              <w:pStyle w:val="Akapitzlist"/>
              <w:spacing w:before="0" w:after="60" w:line="276" w:lineRule="auto"/>
              <w:ind w:left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134C7BD" w14:textId="77777777" w:rsidR="00AF288D" w:rsidRPr="009B7FF4" w:rsidRDefault="00961B3B" w:rsidP="0083315A">
            <w:pPr>
              <w:pStyle w:val="Akapitzlist"/>
              <w:numPr>
                <w:ilvl w:val="3"/>
                <w:numId w:val="2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kontynuacji leczenia ze zmianą leku</w:t>
            </w:r>
          </w:p>
          <w:p w14:paraId="0068779F" w14:textId="6E5DFCBE" w:rsidR="00961B3B" w:rsidRPr="009B7FF4" w:rsidRDefault="00AF288D" w:rsidP="00AF288D">
            <w:pPr>
              <w:pStyle w:val="Akapitzlist"/>
              <w:spacing w:before="0" w:after="60" w:line="276" w:lineRule="auto"/>
              <w:ind w:left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42C1D006" w14:textId="77777777" w:rsidR="00961B3B" w:rsidRPr="009B7FF4" w:rsidRDefault="00961B3B" w:rsidP="0083315A">
            <w:pPr>
              <w:pStyle w:val="Akapitzlist"/>
              <w:numPr>
                <w:ilvl w:val="3"/>
                <w:numId w:val="2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wyłączeniu pacjenta z programu.</w:t>
            </w:r>
          </w:p>
          <w:p w14:paraId="2056580A" w14:textId="77777777" w:rsidR="00961B3B" w:rsidRPr="009B7FF4" w:rsidRDefault="00961B3B" w:rsidP="00961B3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Kryteria oceny odpowiedzi na terapię obejmują:</w:t>
            </w:r>
          </w:p>
          <w:p w14:paraId="2B7C420A" w14:textId="5B80454D" w:rsidR="00961B3B" w:rsidRPr="009B7FF4" w:rsidRDefault="00961B3B" w:rsidP="0083315A">
            <w:pPr>
              <w:pStyle w:val="Akapitzlist"/>
              <w:numPr>
                <w:ilvl w:val="3"/>
                <w:numId w:val="2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 xml:space="preserve">poprawę najlepszej skorygowanej ostrości wzroku (BCVA) o co najmniej 1 linię </w:t>
            </w:r>
            <w:r w:rsidR="00B20EAA" w:rsidRPr="009B7FF4">
              <w:rPr>
                <w:rFonts w:ascii="Times New Roman" w:hAnsi="Times New Roman"/>
                <w:sz w:val="20"/>
                <w:szCs w:val="20"/>
              </w:rPr>
              <w:t>w stosunku do wartości z badania kwalifikacyjnego</w:t>
            </w:r>
            <w:r w:rsidR="00B20EAA" w:rsidRPr="009B7FF4" w:rsidDel="007C70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7066" w:rsidRPr="009B7FF4">
              <w:rPr>
                <w:rFonts w:ascii="Times New Roman" w:hAnsi="Times New Roman"/>
                <w:sz w:val="20"/>
                <w:szCs w:val="20"/>
              </w:rPr>
              <w:t xml:space="preserve">lub poprawę do 0,8 lub więcej </w:t>
            </w:r>
            <w:r w:rsidR="007C7066" w:rsidRPr="009B7FF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na tablicy </w:t>
            </w:r>
            <w:proofErr w:type="spellStart"/>
            <w:r w:rsidR="007C7066" w:rsidRPr="009B7FF4">
              <w:rPr>
                <w:rFonts w:ascii="Times New Roman" w:hAnsi="Times New Roman"/>
                <w:sz w:val="20"/>
                <w:szCs w:val="20"/>
              </w:rPr>
              <w:t>Snellena</w:t>
            </w:r>
            <w:proofErr w:type="spellEnd"/>
            <w:r w:rsidR="007C7066" w:rsidRPr="009B7FF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(lub odpowiednio ekwiwalent ETDRS)</w:t>
            </w:r>
            <w:r w:rsidR="00AF288D"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FE3B45" w14:textId="77777777" w:rsidR="00961B3B" w:rsidRPr="009B7FF4" w:rsidRDefault="00961B3B" w:rsidP="0083315A">
            <w:pPr>
              <w:pStyle w:val="Akapitzlist"/>
              <w:numPr>
                <w:ilvl w:val="3"/>
                <w:numId w:val="2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zmniejszenie grubości siatkówki w dołku o ≥20% w stosunku do wartości z badania kwalifikacyjnego (OCT) lub zmniejszenie grubości siatkówki do wartości ≤ 300 µm.</w:t>
            </w:r>
          </w:p>
          <w:p w14:paraId="2C34A467" w14:textId="77777777" w:rsidR="00961B3B" w:rsidRPr="009B7FF4" w:rsidRDefault="00961B3B" w:rsidP="00961B3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Kryteria odpowiedzi muszą być spełnione łącznie. </w:t>
            </w:r>
          </w:p>
          <w:p w14:paraId="7A93D131" w14:textId="77777777" w:rsidR="00961B3B" w:rsidRPr="009B7FF4" w:rsidRDefault="00961B3B" w:rsidP="00961B3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Odpowiedź na terapię musi utrzymywać się do momentu oceny przez Zespół Koordynacyjny od zaprzestania podawania serii iniekcji początkowych leku.</w:t>
            </w:r>
          </w:p>
          <w:p w14:paraId="4DE287CE" w14:textId="77777777" w:rsidR="00B5324B" w:rsidRPr="009B7FF4" w:rsidRDefault="00B5324B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849988" w14:textId="6C78FD53" w:rsidR="00B5324B" w:rsidRPr="009B7FF4" w:rsidRDefault="00B5324B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371C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wymienionych w pkt. 2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wskaźniki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4702CA53" w14:textId="6FCFDB08" w:rsidR="00B5324B" w:rsidRPr="009B7FF4" w:rsidRDefault="00B5324B" w:rsidP="00AF288D">
            <w:pPr>
              <w:pStyle w:val="Akapitzlist"/>
              <w:numPr>
                <w:ilvl w:val="3"/>
                <w:numId w:val="1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AF288D"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118BCC6" w14:textId="2F8AD3E3" w:rsidR="00B5324B" w:rsidRPr="009B7FF4" w:rsidRDefault="00B5324B" w:rsidP="00AF288D">
            <w:pPr>
              <w:pStyle w:val="Akapitzlist"/>
              <w:numPr>
                <w:ilvl w:val="3"/>
                <w:numId w:val="1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stabilizację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AF288D" w:rsidRPr="009B7F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0EE3FA" w14:textId="60BECBD6" w:rsidR="00B5324B" w:rsidRPr="009B7FF4" w:rsidRDefault="00B5324B" w:rsidP="00AF288D">
            <w:pPr>
              <w:pStyle w:val="Akapitzlist"/>
              <w:numPr>
                <w:ilvl w:val="3"/>
                <w:numId w:val="1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progresję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15BD8ABD" w14:textId="02D055F5" w:rsidR="003C6868" w:rsidRPr="009B7FF4" w:rsidRDefault="00B5324B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Dane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gromadzone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6BA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6666BA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analizowane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Koordynacyjny,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podsumowuje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koniec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982847" w:rsidRPr="009B7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 w:cs="Times New Roman"/>
                <w:sz w:val="20"/>
                <w:szCs w:val="20"/>
              </w:rPr>
              <w:t>roku.</w:t>
            </w:r>
          </w:p>
          <w:p w14:paraId="02C492A1" w14:textId="77777777" w:rsidR="00791B6E" w:rsidRPr="009B7FF4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BA47B3" w14:textId="363951CE" w:rsidR="004F0D85" w:rsidRPr="007A43BD" w:rsidRDefault="004F0D85" w:rsidP="007A43BD">
            <w:pPr>
              <w:pStyle w:val="Akapitzlist"/>
              <w:numPr>
                <w:ilvl w:val="0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A43BD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395D80DC" w14:textId="1A9947CF" w:rsidR="004F0D85" w:rsidRPr="009B7FF4" w:rsidRDefault="004F0D85" w:rsidP="00AF288D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NFZ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zakresu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sprawozdawczo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rozliczeniowych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formie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32541CD" w14:textId="3E84BD7E" w:rsidR="004F0D85" w:rsidRPr="009B7FF4" w:rsidRDefault="004F0D85" w:rsidP="00AF288D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66BA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6666BA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lekowych,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wskaźników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9B7FF4">
              <w:rPr>
                <w:rFonts w:ascii="Times New Roman" w:hAnsi="Times New Roman"/>
                <w:sz w:val="20"/>
                <w:szCs w:val="20"/>
              </w:rPr>
              <w:lastRenderedPageBreak/>
              <w:t>odpowiedzi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9B7FF4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pkt.2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9B7FF4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9B7FF4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NFZ,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opisem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1C8CA51C" w14:textId="2BD7400F" w:rsidR="004C5660" w:rsidRPr="009B7FF4" w:rsidRDefault="004F0D85" w:rsidP="00AF288D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B7FF4">
              <w:rPr>
                <w:rFonts w:ascii="Times New Roman" w:hAnsi="Times New Roman"/>
                <w:sz w:val="20"/>
                <w:szCs w:val="20"/>
              </w:rPr>
              <w:t>dane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dotyczące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gromadzić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każdorazowo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przedstawiać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kontrolerom</w:t>
            </w:r>
            <w:r w:rsidR="00982847" w:rsidRPr="009B7F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FF4">
              <w:rPr>
                <w:rFonts w:ascii="Times New Roman" w:hAnsi="Times New Roman"/>
                <w:sz w:val="20"/>
                <w:szCs w:val="20"/>
              </w:rPr>
              <w:t>NFZ.</w:t>
            </w:r>
          </w:p>
        </w:tc>
      </w:tr>
    </w:tbl>
    <w:p w14:paraId="290A08C3" w14:textId="77777777" w:rsidR="006A6913" w:rsidRPr="006676BB" w:rsidRDefault="006A6913">
      <w:pPr>
        <w:rPr>
          <w:rFonts w:ascii="Times New Roman" w:hAnsi="Times New Roman" w:cs="Times New Roman"/>
        </w:rPr>
      </w:pPr>
    </w:p>
    <w:sectPr w:rsidR="006A6913" w:rsidRPr="006676BB" w:rsidSect="006A691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86D52"/>
    <w:multiLevelType w:val="multilevel"/>
    <w:tmpl w:val="E4704714"/>
    <w:styleLink w:val="Styl2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47297B"/>
    <w:multiLevelType w:val="singleLevel"/>
    <w:tmpl w:val="0415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B393022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6C8305E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177D45EA"/>
    <w:multiLevelType w:val="hybridMultilevel"/>
    <w:tmpl w:val="AE544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85D5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1C0B7E6D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C16387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25C06895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2A94379B"/>
    <w:multiLevelType w:val="multilevel"/>
    <w:tmpl w:val="F9BC2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781169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38334CFB"/>
    <w:multiLevelType w:val="multilevel"/>
    <w:tmpl w:val="98F42FF2"/>
    <w:styleLink w:val="Styl3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B0D27C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3FD762F8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3FE85FE9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465437F6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46DD42D0"/>
    <w:multiLevelType w:val="multilevel"/>
    <w:tmpl w:val="D81648FE"/>
    <w:styleLink w:val="Styl4"/>
    <w:lvl w:ilvl="0">
      <w:start w:val="1"/>
      <w:numFmt w:val="upperRoman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7" w15:restartNumberingAfterBreak="0">
    <w:nsid w:val="4E6D60AD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535A76B5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545D3616"/>
    <w:multiLevelType w:val="multilevel"/>
    <w:tmpl w:val="BBB8FB06"/>
    <w:styleLink w:val="Styl1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8701B67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5C23778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C5B505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5F5875AA"/>
    <w:multiLevelType w:val="multilevel"/>
    <w:tmpl w:val="D9BA42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2DB32AA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719771EE"/>
    <w:multiLevelType w:val="multilevel"/>
    <w:tmpl w:val="94B6856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71A9286A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79D939D6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419185477">
    <w:abstractNumId w:val="19"/>
  </w:num>
  <w:num w:numId="2" w16cid:durableId="767382788">
    <w:abstractNumId w:val="0"/>
  </w:num>
  <w:num w:numId="3" w16cid:durableId="2041468645">
    <w:abstractNumId w:val="11"/>
  </w:num>
  <w:num w:numId="4" w16cid:durableId="1631201912">
    <w:abstractNumId w:val="16"/>
  </w:num>
  <w:num w:numId="5" w16cid:durableId="230165587">
    <w:abstractNumId w:val="1"/>
  </w:num>
  <w:num w:numId="6" w16cid:durableId="2099058731">
    <w:abstractNumId w:val="22"/>
  </w:num>
  <w:num w:numId="7" w16cid:durableId="1858688503">
    <w:abstractNumId w:val="7"/>
  </w:num>
  <w:num w:numId="8" w16cid:durableId="1907103956">
    <w:abstractNumId w:val="12"/>
  </w:num>
  <w:num w:numId="9" w16cid:durableId="110714444">
    <w:abstractNumId w:val="15"/>
  </w:num>
  <w:num w:numId="10" w16cid:durableId="108593340">
    <w:abstractNumId w:val="20"/>
  </w:num>
  <w:num w:numId="11" w16cid:durableId="1489978635">
    <w:abstractNumId w:val="24"/>
  </w:num>
  <w:num w:numId="12" w16cid:durableId="978609009">
    <w:abstractNumId w:val="13"/>
  </w:num>
  <w:num w:numId="13" w16cid:durableId="1242370988">
    <w:abstractNumId w:val="14"/>
  </w:num>
  <w:num w:numId="14" w16cid:durableId="1353266391">
    <w:abstractNumId w:val="5"/>
  </w:num>
  <w:num w:numId="15" w16cid:durableId="776869761">
    <w:abstractNumId w:val="21"/>
  </w:num>
  <w:num w:numId="16" w16cid:durableId="106975176">
    <w:abstractNumId w:val="17"/>
  </w:num>
  <w:num w:numId="17" w16cid:durableId="1815297655">
    <w:abstractNumId w:val="9"/>
  </w:num>
  <w:num w:numId="18" w16cid:durableId="882055766">
    <w:abstractNumId w:val="4"/>
  </w:num>
  <w:num w:numId="19" w16cid:durableId="2039694135">
    <w:abstractNumId w:val="23"/>
  </w:num>
  <w:num w:numId="20" w16cid:durableId="1158232600">
    <w:abstractNumId w:val="25"/>
  </w:num>
  <w:num w:numId="21" w16cid:durableId="19280784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268736">
    <w:abstractNumId w:val="27"/>
  </w:num>
  <w:num w:numId="23" w16cid:durableId="1000699342">
    <w:abstractNumId w:val="2"/>
  </w:num>
  <w:num w:numId="24" w16cid:durableId="1373336806">
    <w:abstractNumId w:val="3"/>
  </w:num>
  <w:num w:numId="25" w16cid:durableId="704409926">
    <w:abstractNumId w:val="26"/>
  </w:num>
  <w:num w:numId="26" w16cid:durableId="1584339878">
    <w:abstractNumId w:val="8"/>
  </w:num>
  <w:num w:numId="27" w16cid:durableId="41253448">
    <w:abstractNumId w:val="6"/>
  </w:num>
  <w:num w:numId="28" w16cid:durableId="1656446611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913"/>
    <w:rsid w:val="0000026F"/>
    <w:rsid w:val="0000066B"/>
    <w:rsid w:val="0003435F"/>
    <w:rsid w:val="00066B4E"/>
    <w:rsid w:val="00090A0B"/>
    <w:rsid w:val="00094AF0"/>
    <w:rsid w:val="000B56FB"/>
    <w:rsid w:val="000D6006"/>
    <w:rsid w:val="000F3774"/>
    <w:rsid w:val="000F5E36"/>
    <w:rsid w:val="000F7B07"/>
    <w:rsid w:val="00105BC8"/>
    <w:rsid w:val="00117EBB"/>
    <w:rsid w:val="00140380"/>
    <w:rsid w:val="00142FFA"/>
    <w:rsid w:val="00193735"/>
    <w:rsid w:val="001A4137"/>
    <w:rsid w:val="001C6EFE"/>
    <w:rsid w:val="001E256A"/>
    <w:rsid w:val="001F61E3"/>
    <w:rsid w:val="00207D07"/>
    <w:rsid w:val="00215BC6"/>
    <w:rsid w:val="00215C0D"/>
    <w:rsid w:val="00270DE0"/>
    <w:rsid w:val="00273287"/>
    <w:rsid w:val="0027335A"/>
    <w:rsid w:val="00283F4D"/>
    <w:rsid w:val="002A29B3"/>
    <w:rsid w:val="002A61EC"/>
    <w:rsid w:val="002A6CE7"/>
    <w:rsid w:val="002B2CE7"/>
    <w:rsid w:val="002B31C7"/>
    <w:rsid w:val="002B574B"/>
    <w:rsid w:val="002C6F36"/>
    <w:rsid w:val="002E371C"/>
    <w:rsid w:val="002F2122"/>
    <w:rsid w:val="002F533C"/>
    <w:rsid w:val="002F5F56"/>
    <w:rsid w:val="00313F0F"/>
    <w:rsid w:val="00353962"/>
    <w:rsid w:val="00390561"/>
    <w:rsid w:val="003C6868"/>
    <w:rsid w:val="003E457B"/>
    <w:rsid w:val="003E6D43"/>
    <w:rsid w:val="004249F8"/>
    <w:rsid w:val="004460A0"/>
    <w:rsid w:val="00456EE5"/>
    <w:rsid w:val="004700A8"/>
    <w:rsid w:val="00477455"/>
    <w:rsid w:val="004C491E"/>
    <w:rsid w:val="004C5660"/>
    <w:rsid w:val="004F0D85"/>
    <w:rsid w:val="004F31D3"/>
    <w:rsid w:val="00532308"/>
    <w:rsid w:val="00554503"/>
    <w:rsid w:val="005632B5"/>
    <w:rsid w:val="00572256"/>
    <w:rsid w:val="00572A8E"/>
    <w:rsid w:val="0059255A"/>
    <w:rsid w:val="005B512B"/>
    <w:rsid w:val="005C3A6D"/>
    <w:rsid w:val="005E32ED"/>
    <w:rsid w:val="006057FA"/>
    <w:rsid w:val="006611F2"/>
    <w:rsid w:val="006666BA"/>
    <w:rsid w:val="006676BB"/>
    <w:rsid w:val="006702B6"/>
    <w:rsid w:val="006800F8"/>
    <w:rsid w:val="00694355"/>
    <w:rsid w:val="006A6913"/>
    <w:rsid w:val="006D3A6E"/>
    <w:rsid w:val="006E6EFC"/>
    <w:rsid w:val="00723AB5"/>
    <w:rsid w:val="007413A1"/>
    <w:rsid w:val="00773747"/>
    <w:rsid w:val="00791B6E"/>
    <w:rsid w:val="007A43BD"/>
    <w:rsid w:val="007C7066"/>
    <w:rsid w:val="0080547F"/>
    <w:rsid w:val="008258AA"/>
    <w:rsid w:val="0083315A"/>
    <w:rsid w:val="0083526F"/>
    <w:rsid w:val="00871CBC"/>
    <w:rsid w:val="008A6AC3"/>
    <w:rsid w:val="008E0D3C"/>
    <w:rsid w:val="00915B8E"/>
    <w:rsid w:val="0093444A"/>
    <w:rsid w:val="009357CD"/>
    <w:rsid w:val="009362A1"/>
    <w:rsid w:val="00956363"/>
    <w:rsid w:val="00961B3B"/>
    <w:rsid w:val="00970B40"/>
    <w:rsid w:val="00981CE9"/>
    <w:rsid w:val="00982847"/>
    <w:rsid w:val="00983954"/>
    <w:rsid w:val="00985790"/>
    <w:rsid w:val="00987439"/>
    <w:rsid w:val="00997525"/>
    <w:rsid w:val="009B7FF4"/>
    <w:rsid w:val="00A33E79"/>
    <w:rsid w:val="00A451F4"/>
    <w:rsid w:val="00A849F5"/>
    <w:rsid w:val="00AB6ED4"/>
    <w:rsid w:val="00AC363C"/>
    <w:rsid w:val="00AF288D"/>
    <w:rsid w:val="00B17906"/>
    <w:rsid w:val="00B17F58"/>
    <w:rsid w:val="00B20EAA"/>
    <w:rsid w:val="00B35A2F"/>
    <w:rsid w:val="00B5176D"/>
    <w:rsid w:val="00B5324B"/>
    <w:rsid w:val="00B618B3"/>
    <w:rsid w:val="00B6705B"/>
    <w:rsid w:val="00B71B38"/>
    <w:rsid w:val="00B83840"/>
    <w:rsid w:val="00BC5F49"/>
    <w:rsid w:val="00BD1C35"/>
    <w:rsid w:val="00BD6D12"/>
    <w:rsid w:val="00BE1EF8"/>
    <w:rsid w:val="00C040C2"/>
    <w:rsid w:val="00C127FC"/>
    <w:rsid w:val="00C6772D"/>
    <w:rsid w:val="00C92368"/>
    <w:rsid w:val="00C9292F"/>
    <w:rsid w:val="00C94B25"/>
    <w:rsid w:val="00CC468E"/>
    <w:rsid w:val="00D17E78"/>
    <w:rsid w:val="00D40BAA"/>
    <w:rsid w:val="00D6087F"/>
    <w:rsid w:val="00D651CE"/>
    <w:rsid w:val="00D742C1"/>
    <w:rsid w:val="00D859FF"/>
    <w:rsid w:val="00D96683"/>
    <w:rsid w:val="00E04855"/>
    <w:rsid w:val="00E254B7"/>
    <w:rsid w:val="00E33F5F"/>
    <w:rsid w:val="00E35CD2"/>
    <w:rsid w:val="00E91F07"/>
    <w:rsid w:val="00EA7951"/>
    <w:rsid w:val="00EC15C0"/>
    <w:rsid w:val="00F34EE0"/>
    <w:rsid w:val="00F35590"/>
    <w:rsid w:val="00F6753E"/>
    <w:rsid w:val="00F917D1"/>
    <w:rsid w:val="00FA422D"/>
    <w:rsid w:val="00FB7843"/>
    <w:rsid w:val="00FC155B"/>
    <w:rsid w:val="00FC730D"/>
    <w:rsid w:val="00FE7ED7"/>
    <w:rsid w:val="00FF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5014"/>
  <w15:chartTrackingRefBased/>
  <w15:docId w15:val="{1C0B2835-3CA9-4B5A-8C24-19FE370F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6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23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23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23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23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2368"/>
    <w:rPr>
      <w:b/>
      <w:bCs/>
      <w:sz w:val="20"/>
      <w:szCs w:val="20"/>
    </w:rPr>
  </w:style>
  <w:style w:type="paragraph" w:styleId="Akapitzlist">
    <w:name w:val="List Paragraph"/>
    <w:aliases w:val="Styl moj,Akapit z listą11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C92368"/>
    <w:pPr>
      <w:spacing w:before="240" w:after="120" w:line="360" w:lineRule="auto"/>
      <w:ind w:left="720"/>
      <w:contextualSpacing/>
      <w:jc w:val="both"/>
    </w:pPr>
    <w:rPr>
      <w:rFonts w:ascii="Arial" w:eastAsia="Calibri" w:hAnsi="Arial" w:cs="Times New Roman"/>
      <w:kern w:val="0"/>
      <w14:ligatures w14:val="none"/>
    </w:rPr>
  </w:style>
  <w:style w:type="character" w:customStyle="1" w:styleId="AkapitzlistZnak">
    <w:name w:val="Akapit z listą Znak"/>
    <w:aliases w:val="Styl moj Znak,Akapit z listą11 Znak,Dot pt Znak,F5 List Paragraph Znak,List Paragraph1 Znak,No Spacing1 Znak,List Paragraph Char Char Char Znak,Indicator Text Znak,Colorful List - Accent 11 Znak,Numbered Para 1 Znak,Bullet 1 Znak"/>
    <w:link w:val="Akapitzlist"/>
    <w:uiPriority w:val="34"/>
    <w:qFormat/>
    <w:locked/>
    <w:rsid w:val="00C92368"/>
    <w:rPr>
      <w:rFonts w:ascii="Arial" w:eastAsia="Calibri" w:hAnsi="Arial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140380"/>
    <w:pPr>
      <w:spacing w:after="0" w:line="240" w:lineRule="auto"/>
    </w:pPr>
  </w:style>
  <w:style w:type="paragraph" w:customStyle="1" w:styleId="Nagwek1">
    <w:name w:val="Nagłówek1"/>
    <w:basedOn w:val="Normalny"/>
    <w:link w:val="NagwekZnak"/>
    <w:unhideWhenUsed/>
    <w:rsid w:val="00AC363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1"/>
    <w:qFormat/>
    <w:rsid w:val="00AC363C"/>
    <w:rPr>
      <w:kern w:val="0"/>
      <w14:ligatures w14:val="none"/>
    </w:rPr>
  </w:style>
  <w:style w:type="numbering" w:customStyle="1" w:styleId="Styl1">
    <w:name w:val="Styl1"/>
    <w:uiPriority w:val="99"/>
    <w:rsid w:val="00AC363C"/>
    <w:pPr>
      <w:numPr>
        <w:numId w:val="1"/>
      </w:numPr>
    </w:pPr>
  </w:style>
  <w:style w:type="numbering" w:customStyle="1" w:styleId="Styl2">
    <w:name w:val="Styl2"/>
    <w:uiPriority w:val="99"/>
    <w:rsid w:val="00AC363C"/>
    <w:pPr>
      <w:numPr>
        <w:numId w:val="2"/>
      </w:numPr>
    </w:pPr>
  </w:style>
  <w:style w:type="numbering" w:customStyle="1" w:styleId="Styl3">
    <w:name w:val="Styl3"/>
    <w:uiPriority w:val="99"/>
    <w:rsid w:val="00AC363C"/>
    <w:pPr>
      <w:numPr>
        <w:numId w:val="3"/>
      </w:numPr>
    </w:pPr>
  </w:style>
  <w:style w:type="numbering" w:customStyle="1" w:styleId="Styl4">
    <w:name w:val="Styl4"/>
    <w:uiPriority w:val="99"/>
    <w:rsid w:val="00AC363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1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1" ma:contentTypeDescription="Utwórz nowy dokument." ma:contentTypeScope="" ma:versionID="413689f22407e4d348b552e2031143d8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fec7be4587580c43fd8a780530363f6c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88553E-B30C-4841-BD02-BF520CA83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7C4E6-9132-44FA-B53B-52DFCE2EC18F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customXml/itemProps3.xml><?xml version="1.0" encoding="utf-8"?>
<ds:datastoreItem xmlns:ds="http://schemas.openxmlformats.org/officeDocument/2006/customXml" ds:itemID="{D348B767-4B28-4966-94EB-0FEE5E6D6B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F1340D-40A1-4212-9ECD-8256C421D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3867</Words>
  <Characters>23202</Characters>
  <Application>Microsoft Office Word</Application>
  <DocSecurity>4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Królak-Buzakowska Joanna</cp:lastModifiedBy>
  <cp:revision>2</cp:revision>
  <dcterms:created xsi:type="dcterms:W3CDTF">2023-12-06T08:56:00Z</dcterms:created>
  <dcterms:modified xsi:type="dcterms:W3CDTF">2023-12-06T08:56:00Z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</Properties>
</file>